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_GBK" w:hAnsi="方正小标宋_GBK" w:eastAsia="方正小标宋_GBK" w:cs="方正小标宋_GBK"/>
          <w:sz w:val="36"/>
          <w:szCs w:val="22"/>
        </w:rPr>
      </w:pPr>
      <w:r>
        <w:rPr>
          <w:rFonts w:hint="eastAsia" w:ascii="方正小标宋_GBK" w:hAnsi="方正小标宋_GBK" w:eastAsia="方正小标宋_GBK" w:cs="方正小标宋_GBK"/>
          <w:sz w:val="36"/>
          <w:szCs w:val="22"/>
        </w:rPr>
        <w:t>国网</w:t>
      </w:r>
      <w:r>
        <w:rPr>
          <w:rFonts w:hint="eastAsia" w:ascii="方正小标宋_GBK" w:hAnsi="方正小标宋_GBK" w:eastAsia="方正小标宋_GBK" w:cs="方正小标宋_GBK"/>
          <w:sz w:val="36"/>
          <w:szCs w:val="22"/>
          <w:lang w:eastAsia="zh-CN"/>
        </w:rPr>
        <w:t>丹阳市</w:t>
      </w:r>
      <w:r>
        <w:rPr>
          <w:rFonts w:hint="eastAsia" w:ascii="方正小标宋_GBK" w:hAnsi="方正小标宋_GBK" w:eastAsia="方正小标宋_GBK" w:cs="方正小标宋_GBK"/>
          <w:sz w:val="36"/>
          <w:szCs w:val="22"/>
        </w:rPr>
        <w:t>供电公司202</w:t>
      </w:r>
      <w:r>
        <w:rPr>
          <w:rFonts w:hint="eastAsia" w:ascii="方正小标宋_GBK" w:hAnsi="方正小标宋_GBK" w:eastAsia="方正小标宋_GBK" w:cs="方正小标宋_GBK"/>
          <w:sz w:val="36"/>
          <w:szCs w:val="22"/>
          <w:lang w:val="en-US" w:eastAsia="zh-CN"/>
        </w:rPr>
        <w:t>5</w:t>
      </w:r>
      <w:r>
        <w:rPr>
          <w:rFonts w:hint="eastAsia" w:ascii="方正小标宋_GBK" w:hAnsi="方正小标宋_GBK" w:eastAsia="方正小标宋_GBK" w:cs="方正小标宋_GBK"/>
          <w:sz w:val="36"/>
          <w:szCs w:val="22"/>
        </w:rPr>
        <w:t>年企业信息公开年报</w:t>
      </w:r>
    </w:p>
    <w:p>
      <w:pPr>
        <w:rPr>
          <w:rFonts w:hint="eastAsia"/>
        </w:rPr>
      </w:pPr>
    </w:p>
    <w:p>
      <w:pPr>
        <w:rPr>
          <w:rFonts w:hint="eastAsia"/>
        </w:rPr>
      </w:pPr>
      <w:r>
        <w:rPr>
          <w:rFonts w:hint="eastAsia"/>
        </w:rPr>
        <w:t>202</w:t>
      </w:r>
      <w:r>
        <w:rPr>
          <w:rFonts w:hint="eastAsia"/>
          <w:lang w:val="en-US" w:eastAsia="zh-CN"/>
        </w:rPr>
        <w:t>5</w:t>
      </w:r>
      <w:r>
        <w:rPr>
          <w:rFonts w:hint="eastAsia"/>
        </w:rPr>
        <w:t>年，国网</w:t>
      </w:r>
      <w:r>
        <w:rPr>
          <w:rFonts w:hint="eastAsia"/>
          <w:lang w:eastAsia="zh-CN"/>
        </w:rPr>
        <w:t>丹阳市</w:t>
      </w:r>
      <w:r>
        <w:rPr>
          <w:rFonts w:hint="eastAsia"/>
        </w:rPr>
        <w:t>供电公司根据《中华人民共和国政府信息公开条例》、《电力监管条例》、《供电企业信息公开实施办法》等文件要求，认真贯彻落实国家能源局江苏监管办、省政府、省电力公司有关信息公开的工作部署，切实做好供电企业信息公开工作，确保广大电力客户的知情权、参与权和监督权。</w:t>
      </w:r>
    </w:p>
    <w:p>
      <w:pPr>
        <w:rPr>
          <w:rFonts w:hint="eastAsia" w:ascii="黑体" w:hAnsi="黑体" w:eastAsia="黑体" w:cs="黑体"/>
        </w:rPr>
      </w:pPr>
      <w:r>
        <w:rPr>
          <w:rFonts w:hint="eastAsia" w:ascii="黑体" w:hAnsi="黑体" w:eastAsia="黑体" w:cs="黑体"/>
        </w:rPr>
        <w:t>一、企业基本情况</w:t>
      </w:r>
    </w:p>
    <w:p>
      <w:pPr>
        <w:rPr>
          <w:rFonts w:hint="eastAsia" w:eastAsia="方正仿宋_GBK"/>
          <w:lang w:eastAsia="zh-CN"/>
        </w:rPr>
      </w:pPr>
      <w:r>
        <w:rPr>
          <w:rFonts w:hint="eastAsia"/>
        </w:rPr>
        <w:t>1.电量情况：全社会用电量</w:t>
      </w:r>
      <w:r>
        <w:rPr>
          <w:rFonts w:hint="eastAsia" w:ascii="Times New Roman" w:hAnsi="Times New Roman" w:eastAsia="方正仿宋_GBK" w:cs="Times New Roman"/>
          <w:sz w:val="32"/>
          <w:szCs w:val="32"/>
          <w:lang w:val="en-US" w:eastAsia="zh-CN"/>
        </w:rPr>
        <w:t>109.45</w:t>
      </w:r>
      <w:r>
        <w:rPr>
          <w:rFonts w:hint="eastAsia"/>
        </w:rPr>
        <w:t>亿千瓦时，同比增长</w:t>
      </w:r>
      <w:r>
        <w:rPr>
          <w:rFonts w:hint="eastAsia" w:ascii="Times New Roman" w:hAnsi="Times New Roman" w:eastAsia="方正仿宋_GBK" w:cs="Times New Roman"/>
          <w:sz w:val="32"/>
          <w:szCs w:val="32"/>
          <w:lang w:val="en-US" w:eastAsia="zh-CN"/>
        </w:rPr>
        <w:t>3.83</w:t>
      </w:r>
      <w:r>
        <w:rPr>
          <w:rFonts w:hint="eastAsia"/>
        </w:rPr>
        <w:t>%；供、售电量分别为</w:t>
      </w:r>
      <w:r>
        <w:rPr>
          <w:rFonts w:hint="eastAsia"/>
          <w:lang w:val="en-US" w:eastAsia="zh-CN"/>
        </w:rPr>
        <w:t>104.62</w:t>
      </w:r>
      <w:r>
        <w:rPr>
          <w:rFonts w:hint="eastAsia"/>
        </w:rPr>
        <w:t>和</w:t>
      </w:r>
      <w:r>
        <w:rPr>
          <w:rFonts w:hint="default" w:ascii="Times New Roman" w:hAnsi="Times New Roman" w:eastAsia="方正仿宋_GBK" w:cs="Times New Roman"/>
          <w:sz w:val="32"/>
          <w:szCs w:val="32"/>
          <w:lang w:val="en-US" w:eastAsia="zh-CN"/>
        </w:rPr>
        <w:t>102.</w:t>
      </w:r>
      <w:r>
        <w:rPr>
          <w:rFonts w:hint="eastAsia" w:ascii="Times New Roman" w:hAnsi="Times New Roman" w:eastAsia="方正仿宋_GBK" w:cs="Times New Roman"/>
          <w:sz w:val="32"/>
          <w:szCs w:val="32"/>
          <w:lang w:val="en-US" w:eastAsia="zh-CN"/>
        </w:rPr>
        <w:t>6</w:t>
      </w:r>
      <w:r>
        <w:rPr>
          <w:rFonts w:hint="eastAsia" w:ascii="Times New Roman" w:hAnsi="Times New Roman" w:cs="Times New Roman"/>
          <w:sz w:val="32"/>
          <w:szCs w:val="32"/>
          <w:lang w:val="en-US" w:eastAsia="zh-CN"/>
        </w:rPr>
        <w:t>0</w:t>
      </w:r>
      <w:r>
        <w:rPr>
          <w:rFonts w:hint="eastAsia"/>
        </w:rPr>
        <w:t>亿千瓦时，同比增长</w:t>
      </w:r>
      <w:r>
        <w:rPr>
          <w:rFonts w:hint="eastAsia"/>
          <w:lang w:val="en-US" w:eastAsia="zh-CN"/>
        </w:rPr>
        <w:t>2.52</w:t>
      </w:r>
      <w:r>
        <w:rPr>
          <w:rFonts w:hint="default"/>
          <w:lang w:val="en-US" w:eastAsia="zh-CN"/>
        </w:rPr>
        <w:t>%</w:t>
      </w:r>
      <w:r>
        <w:rPr>
          <w:rFonts w:hint="eastAsia"/>
        </w:rPr>
        <w:t>和</w:t>
      </w:r>
      <w:r>
        <w:rPr>
          <w:rFonts w:hint="eastAsia"/>
          <w:lang w:val="en-US" w:eastAsia="zh-CN"/>
        </w:rPr>
        <w:t>2.59</w:t>
      </w:r>
      <w:r>
        <w:rPr>
          <w:rFonts w:hint="default"/>
          <w:lang w:val="en-US" w:eastAsia="zh-CN"/>
        </w:rPr>
        <w:t>%</w:t>
      </w:r>
      <w:r>
        <w:rPr>
          <w:rFonts w:hint="eastAsia"/>
        </w:rPr>
        <w:t>；</w:t>
      </w:r>
    </w:p>
    <w:p>
      <w:pPr>
        <w:rPr>
          <w:rFonts w:hint="eastAsia"/>
        </w:rPr>
      </w:pPr>
      <w:r>
        <w:rPr>
          <w:rFonts w:hint="eastAsia"/>
        </w:rPr>
        <w:t>2.负荷情况：调度最高用电负荷</w:t>
      </w:r>
      <w:r>
        <w:rPr>
          <w:rFonts w:hint="eastAsia" w:ascii="Times New Roman" w:hAnsi="Times New Roman" w:eastAsia="方正仿宋_GBK" w:cs="Times New Roman"/>
          <w:sz w:val="32"/>
          <w:szCs w:val="32"/>
          <w:lang w:val="en-US" w:eastAsia="zh-CN"/>
        </w:rPr>
        <w:t>202.044</w:t>
      </w:r>
      <w:r>
        <w:rPr>
          <w:rFonts w:hint="eastAsia"/>
        </w:rPr>
        <w:t>万千瓦；</w:t>
      </w:r>
    </w:p>
    <w:p>
      <w:pPr>
        <w:rPr>
          <w:rFonts w:hint="eastAsia"/>
        </w:rPr>
      </w:pPr>
      <w:r>
        <w:rPr>
          <w:rFonts w:hint="eastAsia"/>
        </w:rPr>
        <w:t>3.营业户数：</w:t>
      </w:r>
      <w:r>
        <w:rPr>
          <w:rFonts w:hint="eastAsia" w:ascii="Times New Roman" w:hAnsi="Times New Roman" w:eastAsia="方正仿宋_GBK" w:cs="Times New Roman"/>
          <w:kern w:val="0"/>
          <w:sz w:val="32"/>
          <w:szCs w:val="22"/>
          <w:highlight w:val="none"/>
          <w:lang w:val="en-US" w:eastAsia="zh-CN"/>
        </w:rPr>
        <w:t>64.91</w:t>
      </w:r>
      <w:r>
        <w:rPr>
          <w:rFonts w:hint="eastAsia"/>
        </w:rPr>
        <w:t>万户。</w:t>
      </w:r>
    </w:p>
    <w:p>
      <w:pPr>
        <w:rPr>
          <w:rFonts w:hint="eastAsia"/>
        </w:rPr>
      </w:pPr>
      <w:r>
        <w:rPr>
          <w:rFonts w:hint="eastAsia"/>
        </w:rPr>
        <w:t>4.全年停电情况：全年未发生大面积停电事件。</w:t>
      </w:r>
    </w:p>
    <w:p>
      <w:pPr>
        <w:rPr>
          <w:rFonts w:hint="eastAsia" w:eastAsia="方正仿宋_GBK"/>
          <w:lang w:eastAsia="zh-CN"/>
        </w:rPr>
      </w:pPr>
      <w:r>
        <w:rPr>
          <w:rFonts w:hint="eastAsia"/>
        </w:rPr>
        <w:t>5.两率基本</w:t>
      </w:r>
      <w:r>
        <w:rPr>
          <w:rFonts w:hint="eastAsia"/>
          <w:highlight w:val="none"/>
        </w:rPr>
        <w:t>情况：202</w:t>
      </w:r>
      <w:r>
        <w:rPr>
          <w:rFonts w:hint="eastAsia"/>
          <w:highlight w:val="none"/>
          <w:lang w:val="en-US" w:eastAsia="zh-CN"/>
        </w:rPr>
        <w:t>5</w:t>
      </w:r>
      <w:r>
        <w:rPr>
          <w:rFonts w:hint="eastAsia"/>
          <w:highlight w:val="none"/>
        </w:rPr>
        <w:t>年，</w:t>
      </w:r>
      <w:r>
        <w:rPr>
          <w:rFonts w:hint="eastAsia"/>
          <w:highlight w:val="none"/>
          <w:lang w:eastAsia="zh-CN"/>
        </w:rPr>
        <w:t>丹阳</w:t>
      </w:r>
      <w:r>
        <w:rPr>
          <w:rFonts w:hint="eastAsia"/>
          <w:highlight w:val="none"/>
        </w:rPr>
        <w:t>公司供电可靠率</w:t>
      </w:r>
      <w:r>
        <w:rPr>
          <w:rFonts w:hint="eastAsia"/>
          <w:highlight w:val="none"/>
          <w:lang w:val="en-US" w:eastAsia="zh-CN"/>
        </w:rPr>
        <w:t>99.9959</w:t>
      </w:r>
      <w:r>
        <w:rPr>
          <w:rFonts w:hint="eastAsia"/>
          <w:highlight w:val="none"/>
        </w:rPr>
        <w:t>%，电压合格率</w:t>
      </w:r>
      <w:r>
        <w:rPr>
          <w:rFonts w:hint="eastAsia"/>
          <w:highlight w:val="none"/>
          <w:lang w:val="en-US" w:eastAsia="zh-CN"/>
        </w:rPr>
        <w:t>99.9955</w:t>
      </w:r>
      <w:r>
        <w:rPr>
          <w:rFonts w:hint="eastAsia"/>
          <w:highlight w:val="none"/>
        </w:rPr>
        <w:t>%。</w:t>
      </w:r>
    </w:p>
    <w:p>
      <w:pPr>
        <w:rPr>
          <w:rFonts w:hint="eastAsia" w:ascii="黑体" w:hAnsi="黑体" w:eastAsia="黑体" w:cs="黑体"/>
        </w:rPr>
      </w:pPr>
      <w:r>
        <w:rPr>
          <w:rFonts w:hint="eastAsia" w:ascii="黑体" w:hAnsi="黑体" w:eastAsia="黑体" w:cs="黑体"/>
        </w:rPr>
        <w:t>二、供电服务工作开展情况</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baseline"/>
        <w:outlineLvl w:val="9"/>
        <w:rPr>
          <w:rFonts w:hint="default" w:ascii="Times New Roman" w:hAnsi="Times New Roman" w:eastAsia="方正楷体_GBK" w:cs="Times New Roman"/>
          <w:b/>
          <w:bCs/>
          <w:color w:val="auto"/>
          <w:spacing w:val="0"/>
          <w:sz w:val="32"/>
          <w:szCs w:val="32"/>
          <w:lang w:val="en-US" w:eastAsia="zh-CN"/>
        </w:rPr>
      </w:pPr>
      <w:r>
        <w:rPr>
          <w:rFonts w:hint="eastAsia"/>
          <w:lang w:eastAsia="zh-CN"/>
        </w:rPr>
        <w:t>保障电力</w:t>
      </w:r>
      <w:r>
        <w:rPr>
          <w:rFonts w:hint="default"/>
        </w:rPr>
        <w:t>可靠</w:t>
      </w:r>
      <w:r>
        <w:rPr>
          <w:rFonts w:hint="eastAsia"/>
          <w:lang w:eastAsia="zh-CN"/>
        </w:rPr>
        <w:t>供应</w:t>
      </w:r>
      <w:r>
        <w:rPr>
          <w:rFonts w:hint="default"/>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主动应对迎峰度夏期间暴雨、高温等极端天气挑战，成功经受全网负荷6创历史新高的严峻考验，切实扛牢电力保供政治责任。应急能力不断增强，成功抵御“竹节草”台风侵袭。编制《县域供电公司低压可靠性提升方案》，持续补强不停电作业力量短板。</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000000"/>
          <w:spacing w:val="0"/>
          <w:kern w:val="21"/>
          <w:sz w:val="32"/>
          <w:szCs w:val="32"/>
          <w:u w:val="none"/>
          <w:lang w:val="en-US" w:eastAsia="zh-CN" w:bidi="ar-SA"/>
        </w:rPr>
      </w:pPr>
      <w:r>
        <w:rPr>
          <w:rFonts w:hint="default"/>
          <w:lang w:eastAsia="zh-CN"/>
        </w:rPr>
        <w:t>电网建设提档加速</w:t>
      </w:r>
      <w:r>
        <w:rPr>
          <w:rFonts w:hint="eastAsia"/>
          <w:lang w:eastAsia="zh-CN"/>
        </w:rPr>
        <w:t>。</w:t>
      </w:r>
      <w:r>
        <w:rPr>
          <w:rFonts w:hint="default" w:ascii="Times New Roman" w:hAnsi="Times New Roman" w:eastAsia="方正仿宋_GBK" w:cs="Times New Roman"/>
          <w:b w:val="0"/>
          <w:color w:val="000000"/>
          <w:kern w:val="2"/>
          <w:sz w:val="32"/>
          <w:szCs w:val="32"/>
          <w:lang w:val="en-US" w:eastAsia="zh-CN" w:bidi="ar-SA"/>
        </w:rPr>
        <w:t>高质量完成</w:t>
      </w:r>
      <w:r>
        <w:rPr>
          <w:rFonts w:hint="default" w:ascii="Times New Roman" w:hAnsi="Times New Roman" w:eastAsia="方正仿宋_GBK" w:cs="Times New Roman"/>
          <w:b w:val="0"/>
          <w:color w:val="000000"/>
          <w:kern w:val="2"/>
          <w:sz w:val="32"/>
          <w:szCs w:val="32"/>
          <w:lang w:val="zh-CN" w:eastAsia="zh-CN" w:bidi="ar-SA"/>
        </w:rPr>
        <w:t>扬镇直流二期工程</w:t>
      </w:r>
      <w:r>
        <w:rPr>
          <w:rFonts w:hint="default" w:ascii="Times New Roman" w:hAnsi="Times New Roman" w:eastAsia="方正仿宋_GBK" w:cs="Times New Roman"/>
          <w:b w:val="0"/>
          <w:color w:val="000000"/>
          <w:kern w:val="2"/>
          <w:sz w:val="32"/>
          <w:szCs w:val="32"/>
          <w:lang w:val="en-US" w:eastAsia="zh-CN" w:bidi="ar-SA"/>
        </w:rPr>
        <w:t>属地任务，实现丹阳境内</w:t>
      </w:r>
      <w:r>
        <w:rPr>
          <w:rFonts w:hint="default" w:ascii="Times New Roman" w:hAnsi="Times New Roman" w:eastAsia="方正仿宋_GBK" w:cs="Times New Roman"/>
          <w:b w:val="0"/>
          <w:color w:val="000000"/>
          <w:kern w:val="2"/>
          <w:sz w:val="32"/>
          <w:szCs w:val="32"/>
          <w:lang w:val="zh-CN" w:eastAsia="zh-CN" w:bidi="ar-SA"/>
        </w:rPr>
        <w:t>全线贯通。完成北门变、新光变</w:t>
      </w:r>
      <w:r>
        <w:rPr>
          <w:rFonts w:hint="default" w:ascii="Times New Roman" w:hAnsi="Times New Roman" w:eastAsia="方正仿宋_GBK" w:cs="Times New Roman"/>
          <w:b w:val="0"/>
          <w:color w:val="000000"/>
          <w:kern w:val="2"/>
          <w:sz w:val="32"/>
          <w:szCs w:val="32"/>
          <w:lang w:val="en-US" w:eastAsia="zh-CN" w:bidi="ar-SA"/>
        </w:rPr>
        <w:t>等5个</w:t>
      </w:r>
      <w:r>
        <w:rPr>
          <w:rFonts w:hint="eastAsia" w:ascii="Times New Roman" w:hAnsi="Times New Roman" w:eastAsia="方正仿宋_GBK" w:cs="Times New Roman"/>
          <w:b w:val="0"/>
          <w:color w:val="000000"/>
          <w:kern w:val="2"/>
          <w:sz w:val="32"/>
          <w:szCs w:val="32"/>
          <w:lang w:val="zh-CN" w:eastAsia="zh-CN" w:bidi="ar-SA"/>
        </w:rPr>
        <w:t>输变电</w:t>
      </w:r>
      <w:r>
        <w:rPr>
          <w:rFonts w:hint="default" w:ascii="Times New Roman" w:hAnsi="Times New Roman" w:eastAsia="方正仿宋_GBK" w:cs="Times New Roman"/>
          <w:b w:val="0"/>
          <w:color w:val="000000"/>
          <w:kern w:val="2"/>
          <w:sz w:val="32"/>
          <w:szCs w:val="32"/>
          <w:lang w:val="zh-CN" w:eastAsia="zh-CN" w:bidi="ar-SA"/>
        </w:rPr>
        <w:t>工程并顺利投运。</w:t>
      </w:r>
      <w:r>
        <w:rPr>
          <w:rFonts w:hint="eastAsia" w:ascii="Times New Roman" w:hAnsi="Times New Roman" w:cs="Times New Roman"/>
          <w:b w:val="0"/>
          <w:color w:val="000000"/>
          <w:kern w:val="2"/>
          <w:sz w:val="32"/>
          <w:szCs w:val="32"/>
          <w:lang w:val="en-US" w:eastAsia="zh-CN" w:bidi="ar-SA"/>
        </w:rPr>
        <w:t>有效</w:t>
      </w:r>
      <w:r>
        <w:rPr>
          <w:rFonts w:hint="default" w:ascii="Times New Roman" w:hAnsi="Times New Roman" w:eastAsia="方正仿宋_GBK" w:cs="Times New Roman"/>
          <w:b w:val="0"/>
          <w:color w:val="000000"/>
          <w:kern w:val="2"/>
          <w:sz w:val="32"/>
          <w:szCs w:val="32"/>
          <w:lang w:val="en-US" w:eastAsia="zh-CN" w:bidi="ar-SA"/>
        </w:rPr>
        <w:t>应对新能源接入需求增加的系统性挑战，</w:t>
      </w:r>
      <w:r>
        <w:rPr>
          <w:rFonts w:hint="eastAsia" w:ascii="Times New Roman" w:hAnsi="Times New Roman" w:cs="Times New Roman"/>
          <w:b w:val="0"/>
          <w:color w:val="000000"/>
          <w:kern w:val="2"/>
          <w:sz w:val="32"/>
          <w:szCs w:val="32"/>
          <w:lang w:val="en-US" w:eastAsia="zh-CN" w:bidi="ar-SA"/>
        </w:rPr>
        <w:t>全力</w:t>
      </w:r>
      <w:r>
        <w:rPr>
          <w:rFonts w:hint="default" w:ascii="Times New Roman" w:hAnsi="Times New Roman" w:eastAsia="方正仿宋_GBK" w:cs="Times New Roman"/>
          <w:b w:val="0"/>
          <w:color w:val="000000"/>
          <w:kern w:val="2"/>
          <w:sz w:val="32"/>
          <w:szCs w:val="32"/>
          <w:lang w:val="en-US" w:eastAsia="zh-CN" w:bidi="ar-SA"/>
        </w:rPr>
        <w:t>保障分布式光伏项目并网。积极优化地方能源结构，高效推进三峡皇塘导墅、三峡司徒集中式光伏电站按期投运。</w:t>
      </w:r>
    </w:p>
    <w:p>
      <w:pPr>
        <w:rPr>
          <w:rFonts w:hint="default"/>
          <w:lang w:val="en-US" w:eastAsia="zh-CN"/>
        </w:rPr>
      </w:pPr>
      <w:r>
        <w:rPr>
          <w:rFonts w:hint="default"/>
          <w:lang w:val="en-US" w:eastAsia="zh-CN"/>
        </w:rPr>
        <w:t>营商环境提质升级</w:t>
      </w:r>
      <w:r>
        <w:rPr>
          <w:rFonts w:hint="eastAsia"/>
          <w:lang w:val="en-US" w:eastAsia="zh-CN"/>
        </w:rPr>
        <w:t>。</w:t>
      </w:r>
      <w:r>
        <w:rPr>
          <w:rFonts w:hint="default"/>
          <w:lang w:val="en-US" w:eastAsia="zh-CN"/>
        </w:rPr>
        <w:t>持续巩固深化“开门接电”示范区建设成效，高效服务124个省市重大项目快速接电，有力支撑地方政府招商引资。促请政府出台《丹阳市餐饮场所“瓶改电”实施方案》，完成640户商铺增容接电，相关成果获市委书记王成明批示肯定。</w:t>
      </w:r>
    </w:p>
    <w:p>
      <w:pPr>
        <w:rPr>
          <w:rFonts w:hint="default"/>
          <w:lang w:val="en-US" w:eastAsia="zh-CN"/>
        </w:rPr>
      </w:pPr>
      <w:r>
        <w:rPr>
          <w:rFonts w:hint="default"/>
        </w:rPr>
        <w:t>服务民生举措有力。</w:t>
      </w:r>
      <w:r>
        <w:rPr>
          <w:rFonts w:hint="default"/>
          <w:lang w:val="en-US" w:eastAsia="zh-CN"/>
        </w:rPr>
        <w:t>攻坚完成丹阳境内全部非直供小区治理。超前完成中小学教室电力设施改造任务，联合街道办建成电动自行车集中充电点，有效解决群众急难愁盼问题。</w:t>
      </w:r>
    </w:p>
    <w:p>
      <w:pPr>
        <w:rPr>
          <w:rFonts w:hint="eastAsia" w:ascii="黑体" w:hAnsi="黑体" w:eastAsia="黑体" w:cs="黑体"/>
        </w:rPr>
      </w:pPr>
      <w:r>
        <w:rPr>
          <w:rFonts w:hint="eastAsia" w:ascii="黑体" w:hAnsi="黑体" w:eastAsia="黑体" w:cs="黑体"/>
        </w:rPr>
        <w:t>三、主动公开信息的情况</w:t>
      </w:r>
    </w:p>
    <w:p>
      <w:pPr>
        <w:rPr>
          <w:rFonts w:hint="eastAsia"/>
        </w:rPr>
      </w:pPr>
      <w:r>
        <w:rPr>
          <w:rFonts w:hint="eastAsia"/>
        </w:rPr>
        <w:t>202</w:t>
      </w:r>
      <w:r>
        <w:rPr>
          <w:rFonts w:hint="eastAsia"/>
          <w:lang w:val="en-US" w:eastAsia="zh-CN"/>
        </w:rPr>
        <w:t>5</w:t>
      </w:r>
      <w:r>
        <w:rPr>
          <w:rFonts w:hint="eastAsia"/>
        </w:rPr>
        <w:t>年，公司主要通过企业门户网站、微信服务号、供电营业厅公示、向社会发布白皮书等渠道和方式做好供电质量、负荷管理、电网检修信息、电价标准以及业务流程等主动公开工作，并更新外网网站，归类梳理公示内容，创造信息公开良好的舆论环境，同时大力宣传12398监管热线和微信公众号，有效发挥热线的监督管理作用。主要公开内容包括：</w:t>
      </w:r>
    </w:p>
    <w:p>
      <w:pPr>
        <w:rPr>
          <w:rFonts w:hint="eastAsia"/>
        </w:rPr>
      </w:pPr>
      <w:r>
        <w:rPr>
          <w:rFonts w:hint="eastAsia"/>
        </w:rPr>
        <w:t>1.供电企业基本情况。国网</w:t>
      </w:r>
      <w:r>
        <w:rPr>
          <w:rFonts w:hint="eastAsia"/>
          <w:lang w:eastAsia="zh-CN"/>
        </w:rPr>
        <w:t>丹阳市</w:t>
      </w:r>
      <w:r>
        <w:rPr>
          <w:rFonts w:hint="eastAsia"/>
        </w:rPr>
        <w:t>供电公司主要通过企业门户网站上对企业基本情况进行公布，主要包括公司概况、办公地址、营业网点信息、联系方式、组织机构等内容，202</w:t>
      </w:r>
      <w:r>
        <w:rPr>
          <w:rFonts w:hint="eastAsia"/>
          <w:lang w:val="en-US" w:eastAsia="zh-CN"/>
        </w:rPr>
        <w:t>5</w:t>
      </w:r>
      <w:r>
        <w:rPr>
          <w:rFonts w:hint="eastAsia"/>
        </w:rPr>
        <w:t>年对部分信息进行了更新。</w:t>
      </w:r>
    </w:p>
    <w:p>
      <w:pPr>
        <w:rPr>
          <w:rFonts w:hint="eastAsia"/>
        </w:rPr>
      </w:pPr>
      <w:r>
        <w:rPr>
          <w:rFonts w:hint="eastAsia"/>
        </w:rPr>
        <w:t>2.供电企业办理用电业务有关信息。国网</w:t>
      </w:r>
      <w:r>
        <w:rPr>
          <w:rFonts w:hint="eastAsia"/>
          <w:lang w:eastAsia="zh-CN"/>
        </w:rPr>
        <w:t>丹阳市</w:t>
      </w:r>
      <w:r>
        <w:rPr>
          <w:rFonts w:hint="eastAsia"/>
        </w:rPr>
        <w:t>供电公司在企业门户网站、供电营业厅、“网上国网”手机APP上对新装增容、变更用电等各类用电业务的流程及时限进行公布，并在营业厅放置用电业务办理宣传折页，供客户免费取阅。客户可在供电营业厅面对面申请用电业务办理，也可在网站、APP等线上渠道上申请业务办理、了解业务时限、查询业务进度。</w:t>
      </w:r>
    </w:p>
    <w:p>
      <w:pPr>
        <w:rPr>
          <w:rFonts w:hint="eastAsia"/>
        </w:rPr>
      </w:pPr>
      <w:r>
        <w:rPr>
          <w:rFonts w:hint="eastAsia"/>
        </w:rPr>
        <w:t>3.供电企业执行的电价和收费标准。国网</w:t>
      </w:r>
      <w:r>
        <w:rPr>
          <w:rFonts w:hint="eastAsia"/>
          <w:lang w:eastAsia="zh-CN"/>
        </w:rPr>
        <w:t>丹阳市</w:t>
      </w:r>
      <w:r>
        <w:rPr>
          <w:rFonts w:hint="eastAsia"/>
        </w:rPr>
        <w:t>供电公司在供电营业厅、“网上国网”手机APP上对企业执行的电价和收费标准进行公布，并根据国家电价政策调整及时更新，供电营业厅里放置了电价和收费标准电子看板，客户可通过相关渠道获取供电企业执行的电价标准以及供电企业向用户提供有偿服务时收费的项目、标准和依据等。</w:t>
      </w:r>
    </w:p>
    <w:p>
      <w:pPr>
        <w:rPr>
          <w:rFonts w:hint="eastAsia"/>
        </w:rPr>
      </w:pPr>
      <w:r>
        <w:rPr>
          <w:rFonts w:hint="eastAsia"/>
        </w:rPr>
        <w:t>4.供电质量和两率情况。国网</w:t>
      </w:r>
      <w:r>
        <w:rPr>
          <w:rFonts w:hint="eastAsia"/>
          <w:lang w:eastAsia="zh-CN"/>
        </w:rPr>
        <w:t>丹阳市</w:t>
      </w:r>
      <w:r>
        <w:rPr>
          <w:rFonts w:hint="eastAsia"/>
        </w:rPr>
        <w:t>供电公司在供电营业厅公布《国家电网公司供电服务“十项承诺”》，对外承诺城市和农村地区的供电质量标准，供电可靠率和电压合格率的相关数据每季度在企业门户网站和营业厅进行了公布。</w:t>
      </w:r>
    </w:p>
    <w:p>
      <w:pPr>
        <w:rPr>
          <w:rFonts w:hint="eastAsia"/>
        </w:rPr>
      </w:pPr>
      <w:r>
        <w:rPr>
          <w:rFonts w:hint="eastAsia"/>
        </w:rPr>
        <w:t>5.电网检修、负荷管理有关信息。国网</w:t>
      </w:r>
      <w:r>
        <w:rPr>
          <w:rFonts w:hint="eastAsia"/>
          <w:lang w:eastAsia="zh-CN"/>
        </w:rPr>
        <w:t>丹阳市</w:t>
      </w:r>
      <w:r>
        <w:rPr>
          <w:rFonts w:hint="eastAsia"/>
        </w:rPr>
        <w:t>供电公司通过网站、“网上国网”APP、微信平台等渠道对计划检修、故障检修、临时检修、负荷管理等信息进行公布。</w:t>
      </w:r>
    </w:p>
    <w:p>
      <w:pPr>
        <w:rPr>
          <w:rFonts w:hint="eastAsia"/>
        </w:rPr>
      </w:pPr>
      <w:r>
        <w:rPr>
          <w:rFonts w:hint="eastAsia"/>
        </w:rPr>
        <w:t>6.供电企业供电服务所执行的法律法规以及供电企业制定的涉及用户利益的有关管理制度和技术标准。国网</w:t>
      </w:r>
      <w:r>
        <w:rPr>
          <w:rFonts w:hint="eastAsia"/>
          <w:lang w:eastAsia="zh-CN"/>
        </w:rPr>
        <w:t>丹阳市</w:t>
      </w:r>
      <w:r>
        <w:rPr>
          <w:rFonts w:hint="eastAsia"/>
        </w:rPr>
        <w:t>供电公司在企业门户网站公布《供电监管办法》、《电力供应与使用条例》、《电力设施保护条例》、《承装(修、试)电力设施许可证查询指南》等相关内容，并广泛通过线上、线下渠道开展电力法律法规、管理制度和技术标准的宣传，确保客户的信息知情权。</w:t>
      </w:r>
    </w:p>
    <w:p>
      <w:pPr>
        <w:rPr>
          <w:rFonts w:hint="eastAsia"/>
        </w:rPr>
      </w:pPr>
      <w:r>
        <w:rPr>
          <w:rFonts w:hint="eastAsia"/>
        </w:rPr>
        <w:t>7.供电企业供电服务承诺以及供电服务热线、12398能源监管热线等投诉渠道。国网</w:t>
      </w:r>
      <w:r>
        <w:rPr>
          <w:rFonts w:hint="eastAsia"/>
          <w:lang w:eastAsia="zh-CN"/>
        </w:rPr>
        <w:t>丹阳市</w:t>
      </w:r>
      <w:r>
        <w:rPr>
          <w:rFonts w:hint="eastAsia"/>
        </w:rPr>
        <w:t>供电公司在供电营业厅公布《国家电网公司供电服务“十项承诺”》和《国家电网公司员工服务“十个不准”》，并公布“95598”供电服务热线和“12398”监管热线电话，在各类线上、线下渠道开展广泛宣传。</w:t>
      </w:r>
    </w:p>
    <w:p>
      <w:pPr>
        <w:rPr>
          <w:rFonts w:hint="eastAsia"/>
        </w:rPr>
      </w:pPr>
      <w:r>
        <w:rPr>
          <w:rFonts w:hint="eastAsia"/>
        </w:rPr>
        <w:t>8.用户受电工程市场公平开放相关信息。国网</w:t>
      </w:r>
      <w:r>
        <w:rPr>
          <w:rFonts w:hint="eastAsia"/>
          <w:lang w:eastAsia="zh-CN"/>
        </w:rPr>
        <w:t>丹阳市</w:t>
      </w:r>
      <w:r>
        <w:rPr>
          <w:rFonts w:hint="eastAsia"/>
        </w:rPr>
        <w:t>供电公司对执行的规范用户受电工程市场行为的政策文件和相关制度文件等进行公布。</w:t>
      </w:r>
    </w:p>
    <w:p>
      <w:pPr>
        <w:rPr>
          <w:rFonts w:hint="eastAsia"/>
        </w:rPr>
      </w:pPr>
      <w:r>
        <w:rPr>
          <w:rFonts w:hint="eastAsia"/>
        </w:rPr>
        <w:t>9.可开放容量有关信息。国网</w:t>
      </w:r>
      <w:r>
        <w:rPr>
          <w:rFonts w:hint="eastAsia"/>
          <w:lang w:eastAsia="zh-CN"/>
        </w:rPr>
        <w:t>丹阳市</w:t>
      </w:r>
      <w:r>
        <w:rPr>
          <w:rFonts w:hint="eastAsia"/>
        </w:rPr>
        <w:t>供电公司通过公司门户外网公示本地区配电网可开放容量，相关情况均按季度更新。</w:t>
      </w:r>
    </w:p>
    <w:p>
      <w:pPr>
        <w:rPr>
          <w:rFonts w:hint="eastAsia"/>
        </w:rPr>
      </w:pPr>
      <w:r>
        <w:rPr>
          <w:rFonts w:hint="eastAsia"/>
        </w:rPr>
        <w:t>四、12398能源监管热线标识普及和宣传情况</w:t>
      </w:r>
    </w:p>
    <w:p>
      <w:pPr>
        <w:rPr>
          <w:rFonts w:hint="eastAsia"/>
        </w:rPr>
      </w:pPr>
      <w:r>
        <w:rPr>
          <w:rFonts w:hint="eastAsia"/>
        </w:rPr>
        <w:t>深入贯彻落实《国家能源局关于进一步加强12398能源监管热线标识普及和宣传工作的通知》相关要求，全力开展12398能源监管热线的普及宣传工作。</w:t>
      </w:r>
    </w:p>
    <w:p>
      <w:pPr>
        <w:rPr>
          <w:rFonts w:hint="eastAsia"/>
        </w:rPr>
      </w:pPr>
      <w:r>
        <w:rPr>
          <w:rFonts w:hint="eastAsia"/>
        </w:rPr>
        <w:t>1.持续做好供电营</w:t>
      </w:r>
      <w:bookmarkStart w:id="0" w:name="_GoBack"/>
      <w:bookmarkEnd w:id="0"/>
      <w:r>
        <w:rPr>
          <w:rFonts w:hint="eastAsia"/>
        </w:rPr>
        <w:t>业场所公开12398热线工作。自2006年12398热线开通以来，公司高度重视并积极配合做好推广工作，并在</w:t>
      </w:r>
      <w:r>
        <w:rPr>
          <w:rFonts w:hint="eastAsia"/>
          <w:highlight w:val="none"/>
        </w:rPr>
        <w:t>全市</w:t>
      </w:r>
      <w:r>
        <w:rPr>
          <w:rFonts w:hint="eastAsia"/>
          <w:highlight w:val="none"/>
          <w:lang w:val="en-US" w:eastAsia="zh-CN"/>
        </w:rPr>
        <w:t>50</w:t>
      </w:r>
      <w:r>
        <w:rPr>
          <w:rFonts w:hint="eastAsia"/>
          <w:highlight w:val="none"/>
        </w:rPr>
        <w:t>个供电营业厅布设123</w:t>
      </w:r>
      <w:r>
        <w:rPr>
          <w:rFonts w:hint="eastAsia"/>
        </w:rPr>
        <w:t>98能源监管热线标识和12398微信公众号宣传，固定在供电营业场所的显著位置。</w:t>
      </w:r>
    </w:p>
    <w:p>
      <w:pPr>
        <w:rPr>
          <w:rFonts w:hint="eastAsia"/>
        </w:rPr>
      </w:pPr>
      <w:r>
        <w:rPr>
          <w:rFonts w:hint="eastAsia"/>
        </w:rPr>
        <w:t>2.利用多种途径普及12398热线标识。在对外门户网站显著位置公示了12398热线标识，主动接受公众监督，并将12398宣传情况纳入对外公示信息检查内容。</w:t>
      </w:r>
    </w:p>
    <w:p>
      <w:pPr>
        <w:rPr>
          <w:rFonts w:hint="eastAsia"/>
        </w:rPr>
      </w:pPr>
      <w:r>
        <w:rPr>
          <w:rFonts w:hint="eastAsia"/>
        </w:rPr>
        <w:t>3.主动开展供电监管信息宣传。通过营业窗口一次告知书、电子看板、自助缴费机以及网站等方式公开12398热线、供电监管办法、承装（修、试）企业查询指南等相关电力监管信息，优化网站、手机APP等公示内容，自觉接受社会公众监督，提高企业自身公信力。</w:t>
      </w:r>
    </w:p>
    <w:p>
      <w:pPr>
        <w:rPr>
          <w:rFonts w:hint="eastAsia"/>
        </w:rPr>
      </w:pPr>
      <w:r>
        <w:rPr>
          <w:rFonts w:hint="eastAsia"/>
        </w:rPr>
        <w:t>202</w:t>
      </w:r>
      <w:r>
        <w:rPr>
          <w:rFonts w:hint="eastAsia"/>
          <w:lang w:val="en-US" w:eastAsia="zh-CN"/>
        </w:rPr>
        <w:t>6</w:t>
      </w:r>
      <w:r>
        <w:rPr>
          <w:rFonts w:hint="eastAsia"/>
        </w:rPr>
        <w:t>年，国网</w:t>
      </w:r>
      <w:r>
        <w:rPr>
          <w:rFonts w:hint="eastAsia"/>
          <w:lang w:eastAsia="zh-CN"/>
        </w:rPr>
        <w:t>丹阳市</w:t>
      </w:r>
      <w:r>
        <w:rPr>
          <w:rFonts w:hint="eastAsia"/>
        </w:rPr>
        <w:t>供电公司将继续按照《供电企业信息公开实施办法》的有关要求，认真做好主动公开信息和依申请公开信息有关工作，健全和完善信息公开工作长效机制，确保信息公开的及时性、准确性和有效性，充分发挥12398监督促进作用，畅通投诉举报渠道，做到件件有回音、条条有落实，更好地服务广大电力客户。</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908EB"/>
    <w:rsid w:val="01D571BC"/>
    <w:rsid w:val="030B000A"/>
    <w:rsid w:val="0BF3151B"/>
    <w:rsid w:val="0E982296"/>
    <w:rsid w:val="100D23D7"/>
    <w:rsid w:val="10410B54"/>
    <w:rsid w:val="26F96712"/>
    <w:rsid w:val="29581BD4"/>
    <w:rsid w:val="314815B0"/>
    <w:rsid w:val="34B22441"/>
    <w:rsid w:val="3AF631A4"/>
    <w:rsid w:val="3B6D4C2A"/>
    <w:rsid w:val="3CE927A8"/>
    <w:rsid w:val="4350368E"/>
    <w:rsid w:val="569C262D"/>
    <w:rsid w:val="57B66EF2"/>
    <w:rsid w:val="63890241"/>
    <w:rsid w:val="687C30FB"/>
    <w:rsid w:val="6A721096"/>
    <w:rsid w:val="6F4740BD"/>
    <w:rsid w:val="74D71DEE"/>
    <w:rsid w:val="74E375BD"/>
    <w:rsid w:val="7B4A34B7"/>
    <w:rsid w:val="7D6F7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topLinePunct/>
      <w:autoSpaceDE w:val="0"/>
      <w:autoSpaceDN w:val="0"/>
      <w:adjustRightInd w:val="0"/>
      <w:snapToGrid w:val="0"/>
      <w:spacing w:line="560" w:lineRule="exact"/>
      <w:ind w:firstLine="964" w:firstLineChars="200"/>
      <w:jc w:val="both"/>
      <w:textAlignment w:val="baseline"/>
    </w:pPr>
    <w:rPr>
      <w:rFonts w:ascii="Times New Roman" w:hAnsi="Times New Roman" w:eastAsia="方正仿宋_GBK" w:cs="Arial"/>
      <w:snapToGrid w:val="0"/>
      <w:color w:val="000000"/>
      <w:kern w:val="0"/>
      <w:sz w:val="32"/>
      <w:szCs w:val="21"/>
      <w:lang w:val="en-US" w:eastAsia="en-US" w:bidi="ar-SA"/>
    </w:rPr>
  </w:style>
  <w:style w:type="paragraph" w:styleId="3">
    <w:name w:val="heading 1"/>
    <w:basedOn w:val="1"/>
    <w:next w:val="1"/>
    <w:qFormat/>
    <w:uiPriority w:val="0"/>
    <w:pPr>
      <w:keepNext/>
      <w:keepLines/>
      <w:spacing w:before="340" w:beforeLines="0" w:beforeAutospacing="0" w:after="340" w:afterLines="0" w:afterAutospacing="0" w:line="240" w:lineRule="auto"/>
      <w:outlineLvl w:val="0"/>
    </w:pPr>
    <w:rPr>
      <w:rFonts w:ascii="Times New Roman" w:hAnsi="Times New Roman"/>
      <w:b/>
      <w:kern w:val="44"/>
      <w:sz w:val="44"/>
    </w:rPr>
  </w:style>
  <w:style w:type="paragraph" w:styleId="4">
    <w:name w:val="heading 2"/>
    <w:basedOn w:val="1"/>
    <w:next w:val="1"/>
    <w:semiHidden/>
    <w:unhideWhenUsed/>
    <w:qFormat/>
    <w:uiPriority w:val="0"/>
    <w:pPr>
      <w:spacing w:beforeAutospacing="0" w:afterAutospacing="0"/>
      <w:ind w:firstLine="880" w:firstLineChars="200"/>
      <w:jc w:val="left"/>
      <w:outlineLvl w:val="1"/>
    </w:pPr>
    <w:rPr>
      <w:rFonts w:ascii="Times New Roman" w:hAnsi="Times New Roman" w:eastAsia="方正黑体_GBK" w:cs="宋体"/>
      <w:bCs/>
      <w:kern w:val="0"/>
      <w:sz w:val="32"/>
      <w:szCs w:val="36"/>
      <w:lang w:bidi="ar"/>
    </w:rPr>
  </w:style>
  <w:style w:type="paragraph" w:styleId="5">
    <w:name w:val="heading 3"/>
    <w:basedOn w:val="1"/>
    <w:next w:val="1"/>
    <w:link w:val="15"/>
    <w:semiHidden/>
    <w:unhideWhenUsed/>
    <w:qFormat/>
    <w:uiPriority w:val="0"/>
    <w:pPr>
      <w:keepNext/>
      <w:keepLines/>
      <w:spacing w:beforeLines="0" w:beforeAutospacing="0" w:afterLines="0" w:afterAutospacing="0" w:line="560" w:lineRule="exact"/>
      <w:ind w:firstLine="720" w:firstLineChars="200"/>
      <w:outlineLvl w:val="2"/>
    </w:pPr>
    <w:rPr>
      <w:rFonts w:ascii="Times New Roman" w:hAnsi="Times New Roman" w:eastAsia="方正仿宋_GBK" w:cs="宋体"/>
      <w:b/>
      <w:sz w:val="32"/>
      <w:szCs w:val="22"/>
    </w:rPr>
  </w:style>
  <w:style w:type="character" w:default="1" w:styleId="12">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spacing w:line="560" w:lineRule="exact"/>
      <w:ind w:firstLine="880" w:firstLineChars="200"/>
    </w:pPr>
    <w:rPr>
      <w:rFonts w:ascii="Times New Roman" w:hAnsi="Times New Roman" w:eastAsia="方正仿宋_GBK" w:cs="Times New Roman"/>
      <w:sz w:val="32"/>
      <w:szCs w:val="24"/>
    </w:rPr>
  </w:style>
  <w:style w:type="paragraph" w:styleId="6">
    <w:name w:val="caption"/>
    <w:basedOn w:val="1"/>
    <w:next w:val="1"/>
    <w:semiHidden/>
    <w:unhideWhenUsed/>
    <w:qFormat/>
    <w:uiPriority w:val="0"/>
    <w:pPr>
      <w:spacing w:line="480" w:lineRule="auto"/>
      <w:ind w:firstLine="0" w:firstLineChars="0"/>
      <w:jc w:val="center"/>
    </w:pPr>
    <w:rPr>
      <w:rFonts w:ascii="Times New Roman" w:hAnsi="Times New Roman" w:eastAsia="方正楷体_GBK" w:cs="宋体"/>
      <w:b/>
      <w:sz w:val="28"/>
      <w:szCs w:val="22"/>
    </w:rPr>
  </w:style>
  <w:style w:type="paragraph" w:styleId="7">
    <w:name w:val="Body Text"/>
    <w:basedOn w:val="1"/>
    <w:next w:val="1"/>
    <w:qFormat/>
    <w:uiPriority w:val="0"/>
    <w:pPr>
      <w:spacing w:line="580" w:lineRule="exact"/>
      <w:ind w:firstLine="200" w:firstLineChars="200"/>
      <w:jc w:val="both"/>
    </w:pPr>
    <w:rPr>
      <w:rFonts w:ascii="Calibri" w:hAnsi="Calibri" w:eastAsia="仿宋_GB2312" w:cs="黑体"/>
      <w:sz w:val="32"/>
      <w:szCs w:val="22"/>
    </w:r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pPr>
      <w:ind w:firstLine="0" w:firstLineChars="0"/>
    </w:pPr>
    <w:rPr>
      <w:rFonts w:ascii="宋体" w:hAnsi="宋体" w:eastAsia="方正楷体_GBK" w:cs="宋体"/>
      <w:sz w:val="32"/>
      <w:szCs w:val="22"/>
    </w:rPr>
  </w:style>
  <w:style w:type="paragraph" w:styleId="11">
    <w:name w:val="footnote text"/>
    <w:basedOn w:val="1"/>
    <w:qFormat/>
    <w:uiPriority w:val="0"/>
    <w:pPr>
      <w:snapToGrid w:val="0"/>
      <w:jc w:val="left"/>
    </w:pPr>
    <w:rPr>
      <w:sz w:val="18"/>
    </w:rPr>
  </w:style>
  <w:style w:type="character" w:styleId="13">
    <w:name w:val="footnote reference"/>
    <w:basedOn w:val="12"/>
    <w:qFormat/>
    <w:uiPriority w:val="0"/>
    <w:rPr>
      <w:vertAlign w:val="superscript"/>
    </w:rPr>
  </w:style>
  <w:style w:type="character" w:customStyle="1" w:styleId="15">
    <w:name w:val="标题 3 Char"/>
    <w:link w:val="5"/>
    <w:qFormat/>
    <w:uiPriority w:val="0"/>
    <w:rPr>
      <w:rFonts w:ascii="Times New Roman" w:hAnsi="Times New Roman" w:eastAsia="方正仿宋_GBK" w:cs="宋体"/>
      <w:b/>
      <w:sz w:val="32"/>
      <w:szCs w:val="22"/>
    </w:rPr>
  </w:style>
  <w:style w:type="paragraph" w:customStyle="1" w:styleId="16">
    <w:name w:val="我的正文"/>
    <w:qFormat/>
    <w:uiPriority w:val="0"/>
    <w:pPr>
      <w:widowControl w:val="0"/>
      <w:spacing w:line="580" w:lineRule="exact"/>
      <w:ind w:firstLine="420" w:firstLineChars="200"/>
      <w:jc w:val="both"/>
    </w:pPr>
    <w:rPr>
      <w:rFonts w:ascii="Times New Roman" w:hAnsi="Times New Roman" w:eastAsia="方正仿宋_GBK" w:cstheme="minorBidi"/>
      <w:sz w:val="32"/>
      <w:szCs w:val="32"/>
    </w:rPr>
  </w:style>
  <w:style w:type="character" w:customStyle="1" w:styleId="17">
    <w:name w:val="正式文 Char"/>
    <w:qFormat/>
    <w:uiPriority w:val="0"/>
    <w:rPr>
      <w:rFonts w:hint="eastAsia" w:ascii="仿宋_GB2312" w:hAnsi="仿宋_GB2312" w:eastAsia="方正仿宋_GBK" w:cs="Times New Roman"/>
      <w:color w:val="000000"/>
      <w:spacing w:val="-6"/>
      <w:sz w:val="32"/>
      <w:szCs w:val="22"/>
    </w:rPr>
  </w:style>
  <w:style w:type="paragraph" w:customStyle="1" w:styleId="18">
    <w:name w:val="正式文"/>
    <w:basedOn w:val="1"/>
    <w:link w:val="19"/>
    <w:qFormat/>
    <w:uiPriority w:val="0"/>
    <w:pPr>
      <w:ind w:firstLine="880"/>
    </w:pPr>
    <w:rPr>
      <w:rFonts w:hint="eastAsia"/>
      <w:spacing w:val="-6"/>
      <w:kern w:val="0"/>
      <w:szCs w:val="22"/>
    </w:rPr>
  </w:style>
  <w:style w:type="character" w:customStyle="1" w:styleId="19">
    <w:name w:val="正式文 Char1"/>
    <w:link w:val="18"/>
    <w:qFormat/>
    <w:uiPriority w:val="0"/>
    <w:rPr>
      <w:rFonts w:hint="eastAsia"/>
      <w:spacing w:val="-6"/>
      <w:kern w:val="0"/>
      <w:szCs w:val="22"/>
    </w:rPr>
  </w:style>
  <w:style w:type="character" w:customStyle="1" w:styleId="20">
    <w:name w:val="二级标题 Char1"/>
    <w:basedOn w:val="12"/>
    <w:qFormat/>
    <w:uiPriority w:val="0"/>
    <w:rPr>
      <w:rFonts w:ascii="方正楷体_GBK" w:hAnsi="方正楷体_GBK" w:eastAsia="方正楷体_GBK"/>
      <w:b/>
      <w:bCs/>
      <w:color w:val="000000"/>
      <w:kern w:val="44"/>
      <w:sz w:val="36"/>
      <w:szCs w:val="32"/>
      <w:lang w:val="en-US" w:eastAsia="zh-CN" w:bidi="ar-SA"/>
    </w:rPr>
  </w:style>
  <w:style w:type="paragraph" w:customStyle="1" w:styleId="21">
    <w:name w:val="二级标题"/>
    <w:next w:val="16"/>
    <w:qFormat/>
    <w:uiPriority w:val="0"/>
    <w:pPr>
      <w:widowControl w:val="0"/>
      <w:spacing w:line="600" w:lineRule="exact"/>
      <w:ind w:firstLine="420" w:firstLineChars="200"/>
      <w:jc w:val="both"/>
    </w:pPr>
    <w:rPr>
      <w:rFonts w:hint="eastAsia" w:ascii="方正楷体_GBK" w:hAnsi="方正楷体_GBK" w:eastAsia="方正楷体_GBK" w:cs="Times New Roman"/>
      <w:b/>
      <w:bCs/>
      <w:color w:val="000000"/>
      <w:kern w:val="44"/>
      <w:sz w:val="36"/>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8</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2024-03-26T10:25:00Z</dcterms:created>
  <dc:creator>kanka</dc:creator>
  <cp:lastModifiedBy>张文坚</cp:lastModifiedBy>
  <dcterms:modified xsi:type="dcterms:W3CDTF">2026-03-17T09:31:20Z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FE0A88A5CD4A469B918BFDF258D12DC4</vt:lpwstr>
  </property>
</Properties>
</file>