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国网</w:t>
      </w:r>
      <w:r>
        <w:rPr>
          <w:rFonts w:hint="eastAsia" w:ascii="方正小标宋_GBK" w:hAnsi="方正小标宋_GBK" w:eastAsia="方正小标宋_GBK" w:cs="方正小标宋_GBK"/>
          <w:sz w:val="36"/>
          <w:szCs w:val="22"/>
          <w:lang w:eastAsia="zh-CN"/>
        </w:rPr>
        <w:t>扬中市</w:t>
      </w:r>
      <w:r>
        <w:rPr>
          <w:rFonts w:hint="eastAsia" w:ascii="方正小标宋_GBK" w:hAnsi="方正小标宋_GBK" w:eastAsia="方正小标宋_GBK" w:cs="方正小标宋_GBK"/>
          <w:sz w:val="36"/>
          <w:szCs w:val="22"/>
        </w:rPr>
        <w:t>供电公司202</w:t>
      </w:r>
      <w:r>
        <w:rPr>
          <w:rFonts w:hint="eastAsia" w:ascii="方正小标宋_GBK" w:hAnsi="方正小标宋_GBK" w:eastAsia="方正小标宋_GBK" w:cs="方正小标宋_GBK"/>
          <w:sz w:val="36"/>
          <w:szCs w:val="22"/>
          <w:lang w:val="en-US" w:eastAsia="zh-CN"/>
        </w:rPr>
        <w:t>5</w:t>
      </w:r>
      <w:r>
        <w:rPr>
          <w:rFonts w:hint="eastAsia" w:ascii="方正小标宋_GBK" w:hAnsi="方正小标宋_GBK" w:eastAsia="方正小标宋_GBK" w:cs="方正小标宋_GBK"/>
          <w:sz w:val="36"/>
          <w:szCs w:val="22"/>
        </w:rPr>
        <w:t>年企业信息公开年报</w:t>
      </w:r>
    </w:p>
    <w:p>
      <w:pPr>
        <w:rPr>
          <w:rFonts w:hint="eastAsia"/>
        </w:rPr>
      </w:pPr>
    </w:p>
    <w:p>
      <w:pPr>
        <w:rPr>
          <w:rFonts w:hint="eastAsia"/>
        </w:rPr>
      </w:pPr>
      <w:r>
        <w:rPr>
          <w:rFonts w:hint="eastAsia"/>
        </w:rPr>
        <w:t>202</w:t>
      </w:r>
      <w:r>
        <w:rPr>
          <w:rFonts w:hint="eastAsia"/>
          <w:lang w:val="en-US" w:eastAsia="zh-CN"/>
        </w:rPr>
        <w:t>5</w:t>
      </w:r>
      <w:r>
        <w:rPr>
          <w:rFonts w:hint="eastAsia"/>
        </w:rPr>
        <w:t>年，国网</w:t>
      </w:r>
      <w:r>
        <w:rPr>
          <w:rFonts w:hint="eastAsia"/>
          <w:lang w:eastAsia="zh-CN"/>
        </w:rPr>
        <w:t>扬中市</w:t>
      </w:r>
      <w:r>
        <w:rPr>
          <w:rFonts w:hint="eastAsia"/>
        </w:rPr>
        <w:t>供电公司根据《中华人民共和国政府信息公开条例》、《电力监管条例》、《供电企业信息公开实施办法》等文件要求，认真贯彻落实国家能源局江苏监管办、省政府、省电力公司有关信息公开的工作部署，切实做好供电企业信息公开工作，确保广大电力客户的知情权、参与权和监督权。</w:t>
      </w:r>
    </w:p>
    <w:p>
      <w:pPr>
        <w:rPr>
          <w:rFonts w:hint="eastAsia" w:ascii="黑体" w:hAnsi="黑体" w:eastAsia="黑体" w:cs="黑体"/>
        </w:rPr>
      </w:pPr>
      <w:r>
        <w:rPr>
          <w:rFonts w:hint="eastAsia" w:ascii="黑体" w:hAnsi="黑体" w:eastAsia="黑体" w:cs="黑体"/>
        </w:rPr>
        <w:t>一、企业基本情况</w:t>
      </w:r>
    </w:p>
    <w:p>
      <w:pPr>
        <w:rPr>
          <w:rFonts w:hint="default"/>
          <w:lang w:val="en-US"/>
        </w:rPr>
      </w:pPr>
      <w:r>
        <w:rPr>
          <w:rFonts w:hint="eastAsia"/>
        </w:rPr>
        <w:t>1.电量情况：</w:t>
      </w:r>
      <w:r>
        <w:rPr>
          <w:rFonts w:hint="default" w:ascii="Times New Roman" w:hAnsi="Times New Roman" w:eastAsia="方正仿宋_GBK" w:cs="Times New Roman"/>
          <w:b w:val="0"/>
          <w:bCs w:val="0"/>
          <w:kern w:val="0"/>
          <w:sz w:val="32"/>
          <w:szCs w:val="32"/>
          <w:highlight w:val="none"/>
          <w:lang w:val="en-US" w:eastAsia="zh-CN" w:bidi="ar"/>
        </w:rPr>
        <w:t>全社会用电量22.41亿千瓦时，同比</w:t>
      </w:r>
      <w:r>
        <w:rPr>
          <w:rFonts w:hint="default" w:ascii="Times New Roman" w:hAnsi="Times New Roman" w:eastAsia="方正仿宋_GBK" w:cs="Times New Roman"/>
          <w:kern w:val="0"/>
          <w:sz w:val="32"/>
          <w:szCs w:val="32"/>
          <w:highlight w:val="none"/>
          <w:lang w:val="en-US" w:eastAsia="zh-CN" w:bidi="ar-SA"/>
        </w:rPr>
        <w:t>降低</w:t>
      </w:r>
      <w:r>
        <w:rPr>
          <w:rFonts w:hint="default" w:ascii="Times New Roman" w:hAnsi="Times New Roman" w:eastAsia="方正仿宋_GBK" w:cs="Times New Roman"/>
          <w:b w:val="0"/>
          <w:bCs w:val="0"/>
          <w:kern w:val="0"/>
          <w:sz w:val="32"/>
          <w:szCs w:val="32"/>
          <w:highlight w:val="none"/>
          <w:lang w:val="en-US" w:eastAsia="zh-CN" w:bidi="ar"/>
        </w:rPr>
        <w:t>3.37%；供、售电量分别为20.18和19.65亿千瓦时，同比降低5.59%和6.04%</w:t>
      </w:r>
      <w:r>
        <w:rPr>
          <w:rFonts w:hint="eastAsia" w:ascii="Times New Roman" w:hAnsi="Times New Roman" w:cs="Times New Roman"/>
          <w:b w:val="0"/>
          <w:bCs w:val="0"/>
          <w:kern w:val="0"/>
          <w:sz w:val="32"/>
          <w:szCs w:val="32"/>
          <w:highlight w:val="none"/>
          <w:lang w:val="en-US" w:eastAsia="zh-CN" w:bidi="ar"/>
        </w:rPr>
        <w:t>。</w:t>
      </w:r>
    </w:p>
    <w:p>
      <w:pPr>
        <w:rPr>
          <w:rFonts w:hint="eastAsia" w:eastAsia="方正仿宋_GBK"/>
          <w:highlight w:val="none"/>
          <w:lang w:val="en-US" w:eastAsia="zh-CN"/>
        </w:rPr>
      </w:pPr>
      <w:r>
        <w:rPr>
          <w:rFonts w:hint="eastAsia"/>
          <w:highlight w:val="none"/>
        </w:rPr>
        <w:t>2.负荷情况：</w:t>
      </w:r>
      <w:r>
        <w:rPr>
          <w:rFonts w:hint="eastAsia" w:ascii="Times New Roman" w:hAnsi="Times New Roman" w:eastAsia="方正仿宋_GBK" w:cs="Times New Roman"/>
          <w:color w:val="auto"/>
          <w:sz w:val="32"/>
          <w:szCs w:val="32"/>
          <w:highlight w:val="none"/>
          <w:lang w:val="en-US" w:eastAsia="zh-CN"/>
        </w:rPr>
        <w:t>全网</w:t>
      </w:r>
      <w:r>
        <w:rPr>
          <w:rFonts w:hint="default" w:ascii="Times New Roman" w:hAnsi="Times New Roman" w:eastAsia="方正仿宋_GBK" w:cs="Times New Roman"/>
          <w:color w:val="auto"/>
          <w:sz w:val="32"/>
          <w:szCs w:val="32"/>
          <w:highlight w:val="none"/>
        </w:rPr>
        <w:t>最高用电负荷达</w:t>
      </w:r>
      <w:r>
        <w:rPr>
          <w:rFonts w:hint="eastAsia" w:ascii="Times New Roman" w:hAnsi="Times New Roman" w:eastAsia="方正仿宋_GBK" w:cs="Times New Roman"/>
          <w:color w:val="auto"/>
          <w:sz w:val="32"/>
          <w:szCs w:val="32"/>
          <w:highlight w:val="none"/>
          <w:lang w:val="en-US" w:eastAsia="zh-CN"/>
        </w:rPr>
        <w:t>48.6</w:t>
      </w:r>
      <w:r>
        <w:rPr>
          <w:rFonts w:hint="default" w:ascii="Times New Roman" w:hAnsi="Times New Roman" w:eastAsia="方正仿宋_GBK" w:cs="Times New Roman"/>
          <w:color w:val="auto"/>
          <w:sz w:val="32"/>
          <w:szCs w:val="32"/>
          <w:highlight w:val="none"/>
        </w:rPr>
        <w:t>万千瓦</w:t>
      </w:r>
      <w:r>
        <w:rPr>
          <w:rFonts w:hint="eastAsia" w:ascii="Times New Roman" w:hAnsi="Times New Roman" w:cs="Times New Roman"/>
          <w:color w:val="auto"/>
          <w:sz w:val="32"/>
          <w:szCs w:val="32"/>
          <w:highlight w:val="none"/>
          <w:lang w:eastAsia="zh-CN"/>
        </w:rPr>
        <w:t>。</w:t>
      </w:r>
    </w:p>
    <w:p>
      <w:pPr>
        <w:rPr>
          <w:rFonts w:hint="eastAsia"/>
          <w:highlight w:val="none"/>
        </w:rPr>
      </w:pPr>
      <w:r>
        <w:rPr>
          <w:rFonts w:hint="eastAsia"/>
          <w:highlight w:val="none"/>
        </w:rPr>
        <w:t>3.营业户数：</w:t>
      </w:r>
      <w:r>
        <w:rPr>
          <w:rFonts w:hint="eastAsia"/>
          <w:highlight w:val="none"/>
          <w:lang w:val="en-US" w:eastAsia="zh-CN"/>
        </w:rPr>
        <w:t>20.51</w:t>
      </w:r>
      <w:r>
        <w:rPr>
          <w:rFonts w:hint="eastAsia" w:ascii="Times New Roman" w:hAnsi="Times New Roman"/>
          <w:highlight w:val="none"/>
        </w:rPr>
        <w:t>万户</w:t>
      </w:r>
      <w:r>
        <w:rPr>
          <w:rFonts w:hint="eastAsia"/>
          <w:highlight w:val="none"/>
        </w:rPr>
        <w:t>。</w:t>
      </w:r>
    </w:p>
    <w:p>
      <w:pPr>
        <w:rPr>
          <w:rFonts w:hint="eastAsia"/>
          <w:highlight w:val="none"/>
        </w:rPr>
      </w:pPr>
      <w:r>
        <w:rPr>
          <w:rFonts w:hint="eastAsia"/>
          <w:highlight w:val="none"/>
        </w:rPr>
        <w:t>4.全年停电情况：全年未发生大面积停电事件。</w:t>
      </w:r>
    </w:p>
    <w:p>
      <w:pPr>
        <w:rPr>
          <w:rFonts w:hint="eastAsia"/>
          <w:highlight w:val="none"/>
        </w:rPr>
      </w:pPr>
      <w:r>
        <w:rPr>
          <w:rFonts w:hint="eastAsia"/>
          <w:highlight w:val="none"/>
        </w:rPr>
        <w:t>5.两率基本情况：202</w:t>
      </w:r>
      <w:r>
        <w:rPr>
          <w:rFonts w:hint="eastAsia"/>
          <w:highlight w:val="none"/>
          <w:lang w:val="en-US" w:eastAsia="zh-CN"/>
        </w:rPr>
        <w:t>5</w:t>
      </w:r>
      <w:r>
        <w:rPr>
          <w:rFonts w:hint="eastAsia"/>
          <w:highlight w:val="none"/>
        </w:rPr>
        <w:t>年，</w:t>
      </w:r>
      <w:r>
        <w:rPr>
          <w:rFonts w:hint="eastAsia"/>
          <w:highlight w:val="none"/>
          <w:lang w:eastAsia="zh-CN"/>
        </w:rPr>
        <w:t>扬中</w:t>
      </w:r>
      <w:r>
        <w:rPr>
          <w:rFonts w:hint="eastAsia"/>
          <w:highlight w:val="none"/>
        </w:rPr>
        <w:t>公司供电可靠率</w:t>
      </w:r>
      <w:r>
        <w:rPr>
          <w:rFonts w:hint="eastAsia" w:ascii="Times New Roman" w:hAnsi="Times New Roman" w:eastAsia="方正仿宋_GBK" w:cs="Times New Roman"/>
          <w:color w:val="000000"/>
          <w:spacing w:val="0"/>
          <w:kern w:val="2"/>
          <w:sz w:val="32"/>
          <w:szCs w:val="32"/>
          <w:highlight w:val="none"/>
          <w:lang w:val="en-US" w:eastAsia="zh-CN" w:bidi="ar-SA"/>
        </w:rPr>
        <w:t>99.9963</w:t>
      </w:r>
      <w:r>
        <w:rPr>
          <w:rFonts w:hint="eastAsia"/>
          <w:highlight w:val="none"/>
        </w:rPr>
        <w:t>%，电压合格率99.99</w:t>
      </w:r>
      <w:r>
        <w:rPr>
          <w:rFonts w:hint="eastAsia"/>
          <w:highlight w:val="none"/>
          <w:lang w:val="en-US" w:eastAsia="zh-CN"/>
        </w:rPr>
        <w:t>97</w:t>
      </w:r>
      <w:r>
        <w:rPr>
          <w:rFonts w:hint="eastAsia"/>
          <w:highlight w:val="none"/>
        </w:rPr>
        <w:t>%。</w:t>
      </w:r>
    </w:p>
    <w:p>
      <w:pPr>
        <w:rPr>
          <w:rFonts w:hint="eastAsia" w:ascii="黑体" w:hAnsi="黑体" w:eastAsia="黑体" w:cs="黑体"/>
        </w:rPr>
      </w:pPr>
      <w:r>
        <w:rPr>
          <w:rFonts w:hint="eastAsia" w:ascii="黑体" w:hAnsi="黑体" w:eastAsia="黑体" w:cs="黑体"/>
        </w:rPr>
        <w:t>二、供电服务工作开展情况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yellow"/>
          <w:u w:val="none"/>
        </w:rPr>
      </w:pPr>
      <w:r>
        <w:rPr>
          <w:rFonts w:hint="eastAsia" w:ascii="Times New Roman" w:hAnsi="Times New Roman" w:eastAsia="方正仿宋_GBK" w:cs="Times New Roman"/>
          <w:b w:val="0"/>
          <w:bCs w:val="0"/>
          <w:kern w:val="0"/>
          <w:sz w:val="32"/>
          <w:szCs w:val="32"/>
          <w:lang w:val="en-US" w:eastAsia="zh-CN" w:bidi="ar"/>
        </w:rPr>
        <w:t>电力保供坚强有力。</w:t>
      </w:r>
      <w:r>
        <w:rPr>
          <w:rFonts w:hint="default" w:ascii="Times New Roman" w:hAnsi="Times New Roman" w:eastAsia="方正仿宋_GBK" w:cs="Times New Roman"/>
          <w:b w:val="0"/>
          <w:bCs w:val="0"/>
          <w:kern w:val="0"/>
          <w:sz w:val="32"/>
          <w:szCs w:val="32"/>
          <w:lang w:val="zh-CN" w:eastAsia="zh-CN" w:bidi="ar"/>
        </w:rPr>
        <w:t>圆满完成重大保电任务</w:t>
      </w:r>
      <w:r>
        <w:rPr>
          <w:rFonts w:hint="eastAsia" w:ascii="Times New Roman" w:hAnsi="Times New Roman" w:eastAsia="方正仿宋_GBK" w:cs="Times New Roman"/>
          <w:b w:val="0"/>
          <w:bCs w:val="0"/>
          <w:kern w:val="0"/>
          <w:sz w:val="32"/>
          <w:szCs w:val="32"/>
          <w:lang w:val="en-US" w:eastAsia="zh-CN" w:bidi="ar"/>
        </w:rPr>
        <w:t>36项。</w:t>
      </w:r>
      <w:r>
        <w:rPr>
          <w:rFonts w:hint="default" w:ascii="Times New Roman" w:hAnsi="Times New Roman" w:eastAsia="方正仿宋_GBK" w:cs="Times New Roman"/>
          <w:b w:val="0"/>
          <w:bCs w:val="0"/>
          <w:kern w:val="0"/>
          <w:sz w:val="32"/>
          <w:szCs w:val="32"/>
          <w:lang w:val="en-US" w:eastAsia="zh-CN" w:bidi="ar"/>
        </w:rPr>
        <w:t>编制供电可靠性提升</w:t>
      </w:r>
      <w:r>
        <w:rPr>
          <w:rFonts w:hint="eastAsia" w:ascii="Times New Roman" w:hAnsi="Times New Roman" w:eastAsia="方正仿宋_GBK" w:cs="Times New Roman"/>
          <w:b w:val="0"/>
          <w:bCs w:val="0"/>
          <w:kern w:val="0"/>
          <w:sz w:val="32"/>
          <w:szCs w:val="32"/>
          <w:lang w:val="en-US" w:eastAsia="zh-CN" w:bidi="ar"/>
        </w:rPr>
        <w:t>三年行动</w:t>
      </w:r>
      <w:r>
        <w:rPr>
          <w:rFonts w:hint="default" w:ascii="Times New Roman" w:hAnsi="Times New Roman" w:eastAsia="方正仿宋_GBK" w:cs="Times New Roman"/>
          <w:b w:val="0"/>
          <w:bCs w:val="0"/>
          <w:kern w:val="0"/>
          <w:sz w:val="32"/>
          <w:szCs w:val="32"/>
          <w:lang w:val="en-US" w:eastAsia="zh-CN" w:bidi="ar"/>
        </w:rPr>
        <w:t>方案</w:t>
      </w:r>
      <w:r>
        <w:rPr>
          <w:rFonts w:hint="eastAsia" w:ascii="Times New Roman" w:hAnsi="Times New Roman" w:eastAsia="方正仿宋_GBK" w:cs="Times New Roman"/>
          <w:b w:val="0"/>
          <w:bCs w:val="0"/>
          <w:kern w:val="0"/>
          <w:sz w:val="32"/>
          <w:szCs w:val="32"/>
          <w:lang w:val="en-US" w:eastAsia="zh-CN" w:bidi="ar"/>
        </w:rPr>
        <w:t>，部署实现变电站全停全转功能。</w:t>
      </w:r>
      <w:r>
        <w:rPr>
          <w:rFonts w:hint="default" w:ascii="Times New Roman" w:hAnsi="Times New Roman" w:eastAsia="方正仿宋_GBK" w:cs="Times New Roman"/>
          <w:b w:val="0"/>
          <w:bCs w:val="0"/>
          <w:kern w:val="0"/>
          <w:sz w:val="32"/>
          <w:szCs w:val="32"/>
          <w:lang w:val="zh-CN" w:eastAsia="zh-CN" w:bidi="ar"/>
        </w:rPr>
        <w:t>实施</w:t>
      </w:r>
      <w:r>
        <w:rPr>
          <w:rFonts w:hint="eastAsia" w:ascii="Times New Roman" w:hAnsi="Times New Roman" w:eastAsia="方正仿宋_GBK" w:cs="Times New Roman"/>
          <w:b w:val="0"/>
          <w:bCs w:val="0"/>
          <w:kern w:val="0"/>
          <w:sz w:val="32"/>
          <w:szCs w:val="32"/>
          <w:lang w:val="en-US" w:eastAsia="zh-CN" w:bidi="ar"/>
        </w:rPr>
        <w:t>配网</w:t>
      </w:r>
      <w:r>
        <w:rPr>
          <w:rFonts w:hint="default" w:ascii="Times New Roman" w:hAnsi="Times New Roman" w:eastAsia="方正仿宋_GBK" w:cs="Times New Roman"/>
          <w:b w:val="0"/>
          <w:bCs w:val="0"/>
          <w:kern w:val="0"/>
          <w:sz w:val="32"/>
          <w:szCs w:val="32"/>
          <w:lang w:val="en-US" w:eastAsia="zh-CN" w:bidi="ar"/>
        </w:rPr>
        <w:t>不停电作业</w:t>
      </w:r>
      <w:r>
        <w:rPr>
          <w:rFonts w:hint="eastAsia" w:ascii="Times New Roman" w:hAnsi="Times New Roman" w:eastAsia="方正仿宋_GBK" w:cs="Times New Roman"/>
          <w:b w:val="0"/>
          <w:bCs w:val="0"/>
          <w:kern w:val="0"/>
          <w:sz w:val="32"/>
          <w:szCs w:val="32"/>
          <w:lang w:val="en-US" w:eastAsia="zh-CN" w:bidi="ar"/>
        </w:rPr>
        <w:t>4581</w:t>
      </w:r>
      <w:r>
        <w:rPr>
          <w:rFonts w:hint="default" w:ascii="Times New Roman" w:hAnsi="Times New Roman" w:eastAsia="方正仿宋_GBK" w:cs="Times New Roman"/>
          <w:b w:val="0"/>
          <w:bCs w:val="0"/>
          <w:kern w:val="0"/>
          <w:sz w:val="32"/>
          <w:szCs w:val="32"/>
          <w:lang w:val="en-US" w:eastAsia="zh-CN" w:bidi="ar"/>
        </w:rPr>
        <w:t>次、同比增长</w:t>
      </w:r>
      <w:r>
        <w:rPr>
          <w:rFonts w:hint="eastAsia" w:ascii="Times New Roman" w:hAnsi="Times New Roman" w:eastAsia="方正仿宋_GBK" w:cs="Times New Roman"/>
          <w:b w:val="0"/>
          <w:bCs w:val="0"/>
          <w:kern w:val="0"/>
          <w:sz w:val="32"/>
          <w:szCs w:val="32"/>
          <w:lang w:val="en-US" w:eastAsia="zh-CN" w:bidi="ar"/>
        </w:rPr>
        <w:t>82.22</w:t>
      </w:r>
      <w:r>
        <w:rPr>
          <w:rFonts w:hint="default" w:ascii="Times New Roman" w:hAnsi="Times New Roman" w:eastAsia="方正仿宋_GBK" w:cs="Times New Roman"/>
          <w:b w:val="0"/>
          <w:bCs w:val="0"/>
          <w:kern w:val="0"/>
          <w:sz w:val="32"/>
          <w:szCs w:val="32"/>
          <w:lang w:val="en-US" w:eastAsia="zh-CN" w:bidi="ar"/>
        </w:rPr>
        <w:t>%，中低压</w:t>
      </w:r>
      <w:r>
        <w:rPr>
          <w:rFonts w:hint="default" w:ascii="Times New Roman" w:hAnsi="Times New Roman" w:eastAsia="方正仿宋_GBK" w:cs="Times New Roman"/>
          <w:b w:val="0"/>
          <w:bCs w:val="0"/>
          <w:kern w:val="0"/>
          <w:sz w:val="32"/>
          <w:szCs w:val="32"/>
          <w:lang w:val="zh-CN" w:eastAsia="zh-CN" w:bidi="ar"/>
        </w:rPr>
        <w:t>发电作业</w:t>
      </w:r>
      <w:r>
        <w:rPr>
          <w:rFonts w:hint="eastAsia" w:ascii="Times New Roman" w:hAnsi="Times New Roman" w:eastAsia="方正仿宋_GBK" w:cs="Times New Roman"/>
          <w:b w:val="0"/>
          <w:bCs w:val="0"/>
          <w:kern w:val="0"/>
          <w:sz w:val="32"/>
          <w:szCs w:val="32"/>
          <w:lang w:val="en-US" w:eastAsia="zh-CN" w:bidi="ar"/>
        </w:rPr>
        <w:t>320</w:t>
      </w:r>
      <w:r>
        <w:rPr>
          <w:rFonts w:hint="default" w:ascii="Times New Roman" w:hAnsi="Times New Roman" w:eastAsia="方正仿宋_GBK" w:cs="Times New Roman"/>
          <w:b w:val="0"/>
          <w:bCs w:val="0"/>
          <w:kern w:val="0"/>
          <w:sz w:val="32"/>
          <w:szCs w:val="32"/>
          <w:lang w:val="zh-CN" w:eastAsia="zh-CN" w:bidi="ar"/>
        </w:rPr>
        <w:t>次、同比增长</w:t>
      </w:r>
      <w:r>
        <w:rPr>
          <w:rFonts w:hint="eastAsia" w:ascii="Times New Roman" w:hAnsi="Times New Roman" w:eastAsia="方正仿宋_GBK" w:cs="Times New Roman"/>
          <w:b w:val="0"/>
          <w:bCs w:val="0"/>
          <w:kern w:val="0"/>
          <w:sz w:val="32"/>
          <w:szCs w:val="32"/>
          <w:lang w:val="en-US" w:eastAsia="zh-CN" w:bidi="ar"/>
        </w:rPr>
        <w:t>18.8</w:t>
      </w:r>
      <w:r>
        <w:rPr>
          <w:rFonts w:hint="default" w:ascii="Times New Roman" w:hAnsi="Times New Roman" w:eastAsia="方正仿宋_GBK" w:cs="Times New Roman"/>
          <w:b w:val="0"/>
          <w:bCs w:val="0"/>
          <w:kern w:val="0"/>
          <w:sz w:val="32"/>
          <w:szCs w:val="32"/>
          <w:lang w:val="zh-CN" w:eastAsia="zh-CN" w:bidi="ar"/>
        </w:rPr>
        <w:t>倍。</w:t>
      </w:r>
      <w:r>
        <w:rPr>
          <w:rFonts w:hint="eastAsia" w:ascii="Times New Roman" w:hAnsi="Times New Roman" w:eastAsia="方正仿宋_GBK" w:cs="Times New Roman"/>
          <w:b w:val="0"/>
          <w:bCs w:val="0"/>
          <w:kern w:val="0"/>
          <w:sz w:val="32"/>
          <w:szCs w:val="32"/>
          <w:lang w:val="en-US" w:eastAsia="zh-CN" w:bidi="ar"/>
        </w:rPr>
        <w:t>创新开展地电位带电作业，全省首次应用低压发电车无线同期并网技术，有效提升发电作业的效率和智能化水平。</w:t>
      </w:r>
    </w:p>
    <w:p>
      <w:pPr>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zh-CN" w:eastAsia="zh-CN" w:bidi="ar-SA"/>
        </w:rPr>
        <w:t>持续优化营商环境。</w:t>
      </w:r>
      <w:r>
        <w:rPr>
          <w:rFonts w:hint="default" w:ascii="Times New Roman" w:hAnsi="Times New Roman" w:eastAsia="方正仿宋_GBK" w:cs="Times New Roman"/>
          <w:kern w:val="0"/>
          <w:sz w:val="32"/>
          <w:szCs w:val="32"/>
          <w:lang w:val="en-US" w:eastAsia="zh-CN" w:bidi="ar-SA"/>
        </w:rPr>
        <w:t>举办客户全周期服务体系发布会，</w:t>
      </w:r>
      <w:r>
        <w:rPr>
          <w:rFonts w:hint="eastAsia" w:ascii="方正仿宋_GBK" w:hAnsi="方正仿宋_GBK" w:eastAsia="方正仿宋_GBK" w:cs="方正仿宋_GBK"/>
          <w:kern w:val="0"/>
          <w:sz w:val="32"/>
          <w:szCs w:val="32"/>
          <w:lang w:val="en-US" w:eastAsia="zh-CN" w:bidi="ar-SA"/>
        </w:rPr>
        <w:t>建立“首席共创官”“首席服务官”工</w:t>
      </w:r>
      <w:r>
        <w:rPr>
          <w:rFonts w:hint="default" w:ascii="Times New Roman" w:hAnsi="Times New Roman" w:eastAsia="方正仿宋_GBK" w:cs="Times New Roman"/>
          <w:kern w:val="0"/>
          <w:sz w:val="32"/>
          <w:szCs w:val="32"/>
          <w:lang w:val="en-US" w:eastAsia="zh-CN" w:bidi="ar-SA"/>
        </w:rPr>
        <w:t>作机制，超预期满足客户用电需求。落实“高效办成一件事”要求，累计办理“房电联合过户”2413户。延伸小区电源布点，居民充电桩报装时长压缩至4.19个工作日。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20"/>
          <w:highlight w:val="yellow"/>
          <w:lang w:val="en-US" w:eastAsia="zh-CN"/>
        </w:rPr>
      </w:pPr>
      <w:r>
        <w:rPr>
          <w:rFonts w:hint="eastAsia" w:ascii="Times New Roman" w:hAnsi="Times New Roman" w:eastAsia="方正仿宋_GBK" w:cs="Times New Roman"/>
          <w:kern w:val="0"/>
          <w:sz w:val="32"/>
          <w:szCs w:val="32"/>
          <w:lang w:val="en-US" w:eastAsia="zh-CN" w:bidi="ar-SA"/>
        </w:rPr>
        <w:t>积极服务乡村振兴。</w:t>
      </w:r>
      <w:r>
        <w:rPr>
          <w:rFonts w:hint="eastAsia" w:ascii="Times New Roman" w:hAnsi="Times New Roman" w:eastAsia="方正仿宋_GBK" w:cs="Times New Roman"/>
          <w:kern w:val="0"/>
          <w:sz w:val="32"/>
          <w:szCs w:val="32"/>
          <w:lang w:val="zh-CN" w:eastAsia="zh-CN" w:bidi="ar-SA"/>
        </w:rPr>
        <w:t>常态化开展乡村电气化推广，</w:t>
      </w:r>
      <w:r>
        <w:rPr>
          <w:rFonts w:hint="eastAsia" w:ascii="Times New Roman" w:hAnsi="Times New Roman" w:eastAsia="方正仿宋_GBK" w:cs="Times New Roman"/>
          <w:kern w:val="0"/>
          <w:sz w:val="32"/>
          <w:szCs w:val="32"/>
          <w:lang w:val="en-US" w:eastAsia="zh-CN" w:bidi="ar-SA"/>
        </w:rPr>
        <w:t>全年</w:t>
      </w:r>
      <w:r>
        <w:rPr>
          <w:rFonts w:hint="eastAsia" w:ascii="Times New Roman" w:hAnsi="Times New Roman" w:eastAsia="方正仿宋_GBK" w:cs="Times New Roman"/>
          <w:kern w:val="0"/>
          <w:sz w:val="32"/>
          <w:szCs w:val="32"/>
          <w:lang w:val="zh-CN" w:eastAsia="zh-CN" w:bidi="ar-SA"/>
        </w:rPr>
        <w:t>累计推广</w:t>
      </w:r>
      <w:r>
        <w:rPr>
          <w:rFonts w:hint="eastAsia" w:ascii="方正仿宋_GBK" w:hAnsi="方正仿宋_GBK" w:eastAsia="方正仿宋_GBK" w:cs="方正仿宋_GBK"/>
          <w:color w:val="000000"/>
          <w:kern w:val="0"/>
          <w:sz w:val="31"/>
          <w:szCs w:val="31"/>
          <w:lang w:val="en-US" w:eastAsia="zh-CN" w:bidi="ar"/>
        </w:rPr>
        <w:t>农田电排灌、水产养殖等</w:t>
      </w:r>
      <w:r>
        <w:rPr>
          <w:rFonts w:hint="default" w:ascii="Times New Roman" w:hAnsi="Times New Roman" w:eastAsia="宋体" w:cs="Times New Roman"/>
          <w:color w:val="000000"/>
          <w:kern w:val="0"/>
          <w:sz w:val="31"/>
          <w:szCs w:val="31"/>
          <w:lang w:val="en-US" w:eastAsia="zh-CN" w:bidi="ar"/>
        </w:rPr>
        <w:t>6</w:t>
      </w:r>
      <w:r>
        <w:rPr>
          <w:rFonts w:hint="eastAsia" w:ascii="方正仿宋_GBK" w:hAnsi="方正仿宋_GBK" w:eastAsia="方正仿宋_GBK" w:cs="方正仿宋_GBK"/>
          <w:color w:val="000000"/>
          <w:kern w:val="0"/>
          <w:sz w:val="31"/>
          <w:szCs w:val="31"/>
          <w:lang w:val="en-US" w:eastAsia="zh-CN" w:bidi="ar"/>
        </w:rPr>
        <w:t>类乡村电气化</w:t>
      </w:r>
      <w:r>
        <w:rPr>
          <w:rFonts w:hint="eastAsia" w:ascii="Times New Roman" w:hAnsi="Times New Roman" w:eastAsia="方正仿宋_GBK" w:cs="Times New Roman"/>
          <w:kern w:val="0"/>
          <w:sz w:val="32"/>
          <w:szCs w:val="32"/>
          <w:lang w:val="zh-CN" w:eastAsia="zh-CN" w:bidi="ar-SA"/>
        </w:rPr>
        <w:t>项目</w:t>
      </w:r>
      <w:r>
        <w:rPr>
          <w:rFonts w:hint="eastAsia" w:ascii="Times New Roman" w:hAnsi="Times New Roman" w:eastAsia="方正仿宋_GBK" w:cs="Times New Roman"/>
          <w:kern w:val="0"/>
          <w:sz w:val="32"/>
          <w:szCs w:val="32"/>
          <w:lang w:val="en-US" w:eastAsia="zh-CN" w:bidi="ar-SA"/>
        </w:rPr>
        <w:t>115</w:t>
      </w:r>
      <w:r>
        <w:rPr>
          <w:rFonts w:hint="eastAsia" w:ascii="Times New Roman" w:hAnsi="Times New Roman" w:eastAsia="方正仿宋_GBK" w:cs="Times New Roman"/>
          <w:kern w:val="0"/>
          <w:sz w:val="32"/>
          <w:szCs w:val="32"/>
          <w:lang w:val="zh-CN" w:eastAsia="zh-CN" w:bidi="ar-SA"/>
        </w:rPr>
        <w:t>个</w:t>
      </w:r>
      <w:r>
        <w:rPr>
          <w:rFonts w:hint="default" w:ascii="Times New Roman" w:hAnsi="Times New Roman" w:eastAsia="方正仿宋_GBK" w:cs="Times New Roman"/>
          <w:color w:val="000000"/>
          <w:kern w:val="0"/>
          <w:sz w:val="31"/>
          <w:szCs w:val="31"/>
          <w:lang w:val="zh-CN" w:eastAsia="zh-CN" w:bidi="ar"/>
        </w:rPr>
        <w:t>。</w:t>
      </w:r>
      <w:r>
        <w:rPr>
          <w:rFonts w:hint="eastAsia" w:ascii="Times New Roman" w:hAnsi="Times New Roman" w:eastAsia="方正仿宋_GBK" w:cs="Times New Roman"/>
          <w:kern w:val="0"/>
          <w:sz w:val="32"/>
          <w:szCs w:val="32"/>
          <w:lang w:val="zh-CN" w:eastAsia="zh-CN" w:bidi="ar-SA"/>
        </w:rPr>
        <w:t>联合</w:t>
      </w:r>
      <w:r>
        <w:rPr>
          <w:rFonts w:hint="eastAsia" w:ascii="Times New Roman" w:hAnsi="Times New Roman" w:eastAsia="方正仿宋_GBK" w:cs="Times New Roman"/>
          <w:kern w:val="0"/>
          <w:sz w:val="32"/>
          <w:szCs w:val="32"/>
          <w:lang w:val="en-US" w:eastAsia="zh-CN" w:bidi="ar-SA"/>
        </w:rPr>
        <w:t>市</w:t>
      </w:r>
      <w:r>
        <w:rPr>
          <w:rFonts w:hint="default" w:ascii="Times New Roman" w:hAnsi="Times New Roman" w:eastAsia="方正仿宋_GBK" w:cs="Times New Roman"/>
          <w:kern w:val="0"/>
          <w:sz w:val="32"/>
          <w:szCs w:val="32"/>
          <w:lang w:val="en-US" w:eastAsia="zh-CN" w:bidi="ar-SA"/>
        </w:rPr>
        <w:t>农业农村局出台</w:t>
      </w:r>
      <w:r>
        <w:rPr>
          <w:rFonts w:hint="eastAsia" w:ascii="Times New Roman" w:hAnsi="Times New Roman" w:eastAsia="方正仿宋_GBK" w:cs="Times New Roman"/>
          <w:kern w:val="0"/>
          <w:sz w:val="32"/>
          <w:szCs w:val="32"/>
          <w:lang w:val="zh-CN" w:eastAsia="zh-CN" w:bidi="ar-SA"/>
        </w:rPr>
        <w:t>农田电力设施建设</w:t>
      </w:r>
      <w:r>
        <w:rPr>
          <w:rFonts w:hint="default" w:ascii="Times New Roman" w:hAnsi="Times New Roman" w:eastAsia="方正仿宋_GBK" w:cs="Times New Roman"/>
          <w:kern w:val="0"/>
          <w:sz w:val="32"/>
          <w:szCs w:val="32"/>
          <w:lang w:val="en-US" w:eastAsia="zh-CN" w:bidi="ar-SA"/>
        </w:rPr>
        <w:t>支持政策</w:t>
      </w:r>
      <w:r>
        <w:rPr>
          <w:rFonts w:hint="eastAsia" w:ascii="Times New Roman" w:hAnsi="Times New Roman" w:eastAsia="方正仿宋_GBK" w:cs="Times New Roman"/>
          <w:kern w:val="0"/>
          <w:sz w:val="32"/>
          <w:szCs w:val="32"/>
          <w:lang w:val="zh-CN" w:eastAsia="zh-CN" w:bidi="ar-SA"/>
        </w:rPr>
        <w:t>，</w:t>
      </w:r>
      <w:r>
        <w:rPr>
          <w:rFonts w:hint="eastAsia" w:ascii="Times New Roman" w:hAnsi="Times New Roman" w:eastAsia="方正仿宋_GBK" w:cs="Times New Roman"/>
          <w:kern w:val="0"/>
          <w:sz w:val="32"/>
          <w:szCs w:val="32"/>
          <w:lang w:val="en-US" w:eastAsia="zh-CN" w:bidi="ar-SA"/>
        </w:rPr>
        <w:t>认真做好春耕秋收等重点时段、排灌烘干等重要场所保供电服务，消除农村用电隐患86处，持续助力乡村振兴。</w:t>
      </w:r>
    </w:p>
    <w:p>
      <w:pPr>
        <w:rPr>
          <w:rFonts w:hint="eastAsia" w:ascii="黑体" w:hAnsi="黑体" w:eastAsia="黑体" w:cs="黑体"/>
        </w:rPr>
      </w:pPr>
      <w:r>
        <w:rPr>
          <w:rFonts w:hint="eastAsia" w:ascii="黑体" w:hAnsi="黑体" w:eastAsia="黑体" w:cs="黑体"/>
        </w:rPr>
        <w:t>三、主动公开信息的情况</w:t>
      </w:r>
    </w:p>
    <w:p>
      <w:pPr>
        <w:rPr>
          <w:rFonts w:hint="eastAsia"/>
        </w:rPr>
      </w:pPr>
      <w:r>
        <w:rPr>
          <w:rFonts w:hint="eastAsia"/>
        </w:rPr>
        <w:t>202</w:t>
      </w:r>
      <w:r>
        <w:rPr>
          <w:rFonts w:hint="eastAsia"/>
          <w:lang w:val="en-US" w:eastAsia="zh-CN"/>
        </w:rPr>
        <w:t>5</w:t>
      </w:r>
      <w:r>
        <w:rPr>
          <w:rFonts w:hint="eastAsia"/>
        </w:rPr>
        <w:t>年，公司主要通过企业门户网站、供电营业厅公示、向社会发布白皮书等渠道和方式做好供电质量、负荷管理、电网检修信息、电价标准以及业务流程等主动公开工作，并更新外网网站，归类梳理公示内容，创造信息公开良好的舆论环境，同时大力宣传12398监管热线和微信公众号，有效发挥热线的监督管理作用。主要公开内容包括：</w:t>
      </w:r>
    </w:p>
    <w:p>
      <w:pPr>
        <w:rPr>
          <w:rFonts w:hint="eastAsia"/>
        </w:rPr>
      </w:pPr>
      <w:r>
        <w:rPr>
          <w:rFonts w:hint="eastAsia"/>
        </w:rPr>
        <w:t>1.供电企业基本情况。国网</w:t>
      </w:r>
      <w:r>
        <w:rPr>
          <w:rFonts w:hint="eastAsia"/>
          <w:lang w:eastAsia="zh-CN"/>
        </w:rPr>
        <w:t>扬中市</w:t>
      </w:r>
      <w:r>
        <w:rPr>
          <w:rFonts w:hint="eastAsia"/>
        </w:rPr>
        <w:t>供电公司主要通过企业门户网站上对企业基本情况进行公布，主要包括公司概况、办公地址、营业网点信息、联系方式、组织机构等内容，202</w:t>
      </w:r>
      <w:r>
        <w:rPr>
          <w:rFonts w:hint="eastAsia"/>
          <w:lang w:val="en-US" w:eastAsia="zh-CN"/>
        </w:rPr>
        <w:t>5</w:t>
      </w:r>
      <w:r>
        <w:rPr>
          <w:rFonts w:hint="eastAsia"/>
        </w:rPr>
        <w:t>年对部分信息进行了更新。</w:t>
      </w:r>
    </w:p>
    <w:p>
      <w:pPr>
        <w:rPr>
          <w:rFonts w:hint="eastAsia"/>
        </w:rPr>
      </w:pPr>
      <w:r>
        <w:rPr>
          <w:rFonts w:hint="eastAsia"/>
        </w:rPr>
        <w:t>2.供电企业办理用电业务有关信息。国网</w:t>
      </w:r>
      <w:r>
        <w:rPr>
          <w:rFonts w:hint="eastAsia"/>
          <w:lang w:eastAsia="zh-CN"/>
        </w:rPr>
        <w:t>扬中市</w:t>
      </w:r>
      <w:r>
        <w:rPr>
          <w:rFonts w:hint="eastAsia"/>
        </w:rPr>
        <w:t>供电公司在企业门户网站、供电营业厅、“网上国网”手机APP上对新装增容、变更用电等各类用电业务的流程及时限进行公布，并在营业厅放置用电业务办理宣传折页，供客户免费取阅。客户可在供电营业厅面对面申请用电业务办理，也可在网站、APP等线上渠道上申请业务办理、了解业务时限、查询业务进度。</w:t>
      </w:r>
    </w:p>
    <w:p>
      <w:pPr>
        <w:rPr>
          <w:rFonts w:hint="eastAsia"/>
        </w:rPr>
      </w:pPr>
      <w:r>
        <w:rPr>
          <w:rFonts w:hint="eastAsia"/>
        </w:rPr>
        <w:t>3.供电企业执行的电价和收费标准。国网</w:t>
      </w:r>
      <w:r>
        <w:rPr>
          <w:rFonts w:hint="eastAsia"/>
          <w:lang w:eastAsia="zh-CN"/>
        </w:rPr>
        <w:t>扬中市</w:t>
      </w:r>
      <w:r>
        <w:rPr>
          <w:rFonts w:hint="eastAsia"/>
        </w:rPr>
        <w:t>供电公司在供电营业厅、“网上国网”手机APP上对企业执行的电价和收费标准进行公布，并根据国家电价政策调整及时更新，供电营业厅里放置了电价和收费标准电子看板，客户可通过相关渠道获取供电企业执行的电价标准以及供电企业向用户提供有偿服务时收费的项目、标准和依据等。</w:t>
      </w:r>
    </w:p>
    <w:p>
      <w:pPr>
        <w:rPr>
          <w:rFonts w:hint="eastAsia"/>
        </w:rPr>
      </w:pPr>
      <w:r>
        <w:rPr>
          <w:rFonts w:hint="eastAsia"/>
        </w:rPr>
        <w:t>4.供电质量和两率情况。国网</w:t>
      </w:r>
      <w:r>
        <w:rPr>
          <w:rFonts w:hint="eastAsia"/>
          <w:lang w:eastAsia="zh-CN"/>
        </w:rPr>
        <w:t>扬中市</w:t>
      </w:r>
      <w:r>
        <w:rPr>
          <w:rFonts w:hint="eastAsia"/>
        </w:rPr>
        <w:t>供电公司在供电营业厅公布《国家电网公司供电服务“十项承诺”》，对外承诺城市和农村地区的供电质量标准，供电可靠率和电压合格率的相关数据每季度在企业门户网站和营业厅进行了公布。</w:t>
      </w:r>
    </w:p>
    <w:p>
      <w:pPr>
        <w:rPr>
          <w:rFonts w:hint="eastAsia"/>
        </w:rPr>
      </w:pPr>
      <w:r>
        <w:rPr>
          <w:rFonts w:hint="eastAsia"/>
        </w:rPr>
        <w:t>5.电网检修、负荷管理有关信息。国网</w:t>
      </w:r>
      <w:r>
        <w:rPr>
          <w:rFonts w:hint="eastAsia"/>
          <w:lang w:eastAsia="zh-CN"/>
        </w:rPr>
        <w:t>扬中市</w:t>
      </w:r>
      <w:r>
        <w:rPr>
          <w:rFonts w:hint="eastAsia"/>
        </w:rPr>
        <w:t>供电公司通过网站、“网上国网”APP、微信平台等渠道对计划检修、故障检修、临时检修、负荷管理等信息进行公布。</w:t>
      </w:r>
    </w:p>
    <w:p>
      <w:pPr>
        <w:rPr>
          <w:rFonts w:hint="eastAsia"/>
        </w:rPr>
      </w:pPr>
      <w:r>
        <w:rPr>
          <w:rFonts w:hint="eastAsia"/>
        </w:rPr>
        <w:t>6.供电企业供电服务所执行的法律法规以及供电企业制定的涉及用户利益的有关管理制度和技术标准。国网</w:t>
      </w:r>
      <w:r>
        <w:rPr>
          <w:rFonts w:hint="eastAsia"/>
          <w:lang w:eastAsia="zh-CN"/>
        </w:rPr>
        <w:t>扬中市</w:t>
      </w:r>
      <w:r>
        <w:rPr>
          <w:rFonts w:hint="eastAsia"/>
        </w:rPr>
        <w:t>供电公司在企业门户网站公布《供电监管办法》、《电力供应与使用条例》、《电力设施保护条例》、《承装(修、试)电力设施许可证查询指南》等相关内容，并广泛通过线上、线下渠道开展电力法律法规、管理制度和技术标准的宣传，确保客户的信息知情权。</w:t>
      </w:r>
    </w:p>
    <w:p>
      <w:pPr>
        <w:rPr>
          <w:rFonts w:hint="eastAsia"/>
        </w:rPr>
      </w:pPr>
      <w:r>
        <w:rPr>
          <w:rFonts w:hint="eastAsia"/>
        </w:rPr>
        <w:t>7.供电企业供电服务承诺以及供电服务热线、12398能源监管热线等投诉渠道。国网</w:t>
      </w:r>
      <w:r>
        <w:rPr>
          <w:rFonts w:hint="eastAsia"/>
          <w:lang w:eastAsia="zh-CN"/>
        </w:rPr>
        <w:t>扬中市</w:t>
      </w:r>
      <w:r>
        <w:rPr>
          <w:rFonts w:hint="eastAsia"/>
        </w:rPr>
        <w:t>供电公司在供电营业厅公布《国家电网公司供电服务“十项承诺”》和《国家电网公司员工服务“十个不准”》，并公布“95598”供电服务热线和“12398”监管热线电话，在各类线上、线下渠道开展广泛宣传。</w:t>
      </w:r>
    </w:p>
    <w:p>
      <w:pPr>
        <w:rPr>
          <w:rFonts w:hint="eastAsia"/>
        </w:rPr>
      </w:pPr>
      <w:r>
        <w:rPr>
          <w:rFonts w:hint="eastAsia"/>
        </w:rPr>
        <w:t>8.用户受电工程市场公平开放相关信息。国网</w:t>
      </w:r>
      <w:r>
        <w:rPr>
          <w:rFonts w:hint="eastAsia"/>
          <w:lang w:eastAsia="zh-CN"/>
        </w:rPr>
        <w:t>扬中市</w:t>
      </w:r>
      <w:r>
        <w:rPr>
          <w:rFonts w:hint="eastAsia"/>
        </w:rPr>
        <w:t>供电公司对执行的规范用户受电工程市场行为的政策文件和相关制度文件等进行公布。</w:t>
      </w:r>
    </w:p>
    <w:p>
      <w:pPr>
        <w:rPr>
          <w:rFonts w:hint="eastAsia"/>
        </w:rPr>
      </w:pPr>
      <w:r>
        <w:rPr>
          <w:rFonts w:hint="eastAsia"/>
        </w:rPr>
        <w:t>9.可开放容量有关信息。国网</w:t>
      </w:r>
      <w:r>
        <w:rPr>
          <w:rFonts w:hint="eastAsia"/>
          <w:lang w:eastAsia="zh-CN"/>
        </w:rPr>
        <w:t>扬中市</w:t>
      </w:r>
      <w:r>
        <w:rPr>
          <w:rFonts w:hint="eastAsia"/>
        </w:rPr>
        <w:t>供电公司通过公司门户外网公示本地区配电网可开放容量，相关情况均按季度更新。</w:t>
      </w:r>
      <w:bookmarkStart w:id="0" w:name="_GoBack"/>
      <w:bookmarkEnd w:id="0"/>
    </w:p>
    <w:p>
      <w:pPr>
        <w:rPr>
          <w:rFonts w:hint="eastAsia" w:ascii="黑体" w:hAnsi="黑体" w:eastAsia="黑体" w:cs="黑体"/>
        </w:rPr>
      </w:pPr>
      <w:r>
        <w:rPr>
          <w:rFonts w:hint="eastAsia" w:ascii="黑体" w:hAnsi="黑体" w:eastAsia="黑体" w:cs="黑体"/>
        </w:rPr>
        <w:t>四、</w:t>
      </w:r>
      <w:r>
        <w:rPr>
          <w:rFonts w:hint="default" w:ascii="Times New Roman" w:hAnsi="Times New Roman" w:eastAsia="黑体" w:cs="Times New Roman"/>
        </w:rPr>
        <w:t>12398</w:t>
      </w:r>
      <w:r>
        <w:rPr>
          <w:rFonts w:hint="eastAsia" w:ascii="黑体" w:hAnsi="黑体" w:eastAsia="黑体" w:cs="黑体"/>
        </w:rPr>
        <w:t>能源监管热线标识普及和宣传情况</w:t>
      </w:r>
    </w:p>
    <w:p>
      <w:pPr>
        <w:rPr>
          <w:rFonts w:hint="eastAsia"/>
        </w:rPr>
      </w:pPr>
      <w:r>
        <w:rPr>
          <w:rFonts w:hint="eastAsia"/>
        </w:rPr>
        <w:t>深入贯彻落实《国家能源局关于进一步加强12398能源监管热线标识普及和宣传工作的通知》相关要求，全力开展12398能源监管热线的普及宣传工作。</w:t>
      </w:r>
    </w:p>
    <w:p>
      <w:pPr>
        <w:rPr>
          <w:rFonts w:hint="eastAsia"/>
        </w:rPr>
      </w:pPr>
      <w:r>
        <w:rPr>
          <w:rFonts w:hint="eastAsia"/>
        </w:rPr>
        <w:t>1.持续做好供电营业场所公开12398热线工作。自2006年12398热线开通以来，公司高度重视并积极配合做好推广工作，并在全市5</w:t>
      </w:r>
      <w:r>
        <w:rPr>
          <w:rFonts w:hint="eastAsia"/>
          <w:lang w:val="en-US" w:eastAsia="zh-CN"/>
        </w:rPr>
        <w:t>0</w:t>
      </w:r>
      <w:r>
        <w:rPr>
          <w:rFonts w:hint="eastAsia"/>
        </w:rPr>
        <w:t>个供电营业厅布设12398能源监管热线标识和12398微信公众号宣传，固定在供电营业场所的显著位置。</w:t>
      </w:r>
    </w:p>
    <w:p>
      <w:pPr>
        <w:rPr>
          <w:rFonts w:hint="eastAsia"/>
        </w:rPr>
      </w:pPr>
      <w:r>
        <w:rPr>
          <w:rFonts w:hint="eastAsia"/>
        </w:rPr>
        <w:t>2.利用多种途径普及12398 热线标识。在对外门户网站显著位置公示了12398热线标识，主动接受公众监督，并将12398宣传情况纳入对外公示信息检查内容。</w:t>
      </w:r>
    </w:p>
    <w:p>
      <w:pPr>
        <w:rPr>
          <w:rFonts w:hint="eastAsia"/>
        </w:rPr>
      </w:pPr>
      <w:r>
        <w:rPr>
          <w:rFonts w:hint="eastAsia"/>
        </w:rPr>
        <w:t>3.主动开展供电监管信息宣传。通过营业窗口一次告知书、电子看板、自助缴费机以及网站等方式公开12398热线、供电监管办法、承装（修、试）企业查询指南等相关电力监管信息，优化网站、手机APP等公示内容，自觉接受社会公众监督，提高企业自身公信力。</w:t>
      </w:r>
    </w:p>
    <w:p>
      <w:pPr>
        <w:rPr>
          <w:rFonts w:hint="eastAsia"/>
        </w:rPr>
      </w:pPr>
      <w:r>
        <w:rPr>
          <w:rFonts w:hint="eastAsia"/>
        </w:rPr>
        <w:t>202</w:t>
      </w:r>
      <w:r>
        <w:rPr>
          <w:rFonts w:hint="eastAsia"/>
          <w:lang w:val="en-US" w:eastAsia="zh-CN"/>
        </w:rPr>
        <w:t>6</w:t>
      </w:r>
      <w:r>
        <w:rPr>
          <w:rFonts w:hint="eastAsia"/>
        </w:rPr>
        <w:t>年，国网</w:t>
      </w:r>
      <w:r>
        <w:rPr>
          <w:rFonts w:hint="eastAsia"/>
          <w:lang w:eastAsia="zh-CN"/>
        </w:rPr>
        <w:t>扬中市</w:t>
      </w:r>
      <w:r>
        <w:rPr>
          <w:rFonts w:hint="eastAsia"/>
        </w:rPr>
        <w:t>供电公司将继续按照《供电企业信息公开实施办法》的有关要求，认真做好主动公开信息和依申请公开信息有关工作，健全和完善信息公开工作长效机制，确保信息公开的及时性、准确性和有效性，充分发挥12398监督促进作用，畅通投诉举报渠道，做到件件有回音、条条有落实，更好地服务广大电力客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9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08EB"/>
    <w:rsid w:val="01D571BC"/>
    <w:rsid w:val="030B000A"/>
    <w:rsid w:val="0AB64A74"/>
    <w:rsid w:val="0BF3151B"/>
    <w:rsid w:val="100D23D7"/>
    <w:rsid w:val="210617F6"/>
    <w:rsid w:val="21B025C7"/>
    <w:rsid w:val="26F96712"/>
    <w:rsid w:val="314815B0"/>
    <w:rsid w:val="34B22441"/>
    <w:rsid w:val="3AF631A4"/>
    <w:rsid w:val="3B6D4C2A"/>
    <w:rsid w:val="57B66EF2"/>
    <w:rsid w:val="63890241"/>
    <w:rsid w:val="67636065"/>
    <w:rsid w:val="687C30FB"/>
    <w:rsid w:val="6A721096"/>
    <w:rsid w:val="6F4740BD"/>
    <w:rsid w:val="72BE50BE"/>
    <w:rsid w:val="74E375BD"/>
    <w:rsid w:val="76536B33"/>
    <w:rsid w:val="77BC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topLinePunct/>
      <w:autoSpaceDE w:val="0"/>
      <w:autoSpaceDN w:val="0"/>
      <w:adjustRightInd w:val="0"/>
      <w:snapToGrid w:val="0"/>
      <w:spacing w:line="560" w:lineRule="exact"/>
      <w:ind w:firstLine="964" w:firstLineChars="200"/>
      <w:jc w:val="both"/>
      <w:textAlignment w:val="baseline"/>
    </w:pPr>
    <w:rPr>
      <w:rFonts w:ascii="Times New Roman" w:hAnsi="Times New Roman" w:eastAsia="方正仿宋_GBK" w:cs="Arial"/>
      <w:snapToGrid w:val="0"/>
      <w:color w:val="000000"/>
      <w:kern w:val="0"/>
      <w:sz w:val="32"/>
      <w:szCs w:val="21"/>
      <w:lang w:val="en-US" w:eastAsia="en-US" w:bidi="ar-SA"/>
    </w:rPr>
  </w:style>
  <w:style w:type="paragraph" w:styleId="3">
    <w:name w:val="heading 1"/>
    <w:basedOn w:val="1"/>
    <w:next w:val="1"/>
    <w:qFormat/>
    <w:uiPriority w:val="0"/>
    <w:pPr>
      <w:keepNext/>
      <w:keepLines/>
      <w:spacing w:before="340" w:beforeLines="0" w:beforeAutospacing="0" w:after="340" w:afterLines="0" w:afterAutospacing="0" w:line="240" w:lineRule="auto"/>
      <w:outlineLvl w:val="0"/>
    </w:pPr>
    <w:rPr>
      <w:rFonts w:ascii="Times New Roman" w:hAnsi="Times New Roman"/>
      <w:b/>
      <w:kern w:val="44"/>
      <w:sz w:val="44"/>
    </w:rPr>
  </w:style>
  <w:style w:type="paragraph" w:styleId="4">
    <w:name w:val="heading 2"/>
    <w:basedOn w:val="1"/>
    <w:next w:val="1"/>
    <w:semiHidden/>
    <w:unhideWhenUsed/>
    <w:qFormat/>
    <w:uiPriority w:val="0"/>
    <w:pPr>
      <w:spacing w:beforeAutospacing="0" w:afterAutospacing="0"/>
      <w:ind w:firstLine="880" w:firstLineChars="200"/>
      <w:jc w:val="left"/>
      <w:outlineLvl w:val="1"/>
    </w:pPr>
    <w:rPr>
      <w:rFonts w:ascii="Times New Roman" w:hAnsi="Times New Roman" w:eastAsia="方正黑体_GBK" w:cs="宋体"/>
      <w:bCs/>
      <w:kern w:val="0"/>
      <w:sz w:val="32"/>
      <w:szCs w:val="36"/>
      <w:lang w:bidi="ar"/>
    </w:rPr>
  </w:style>
  <w:style w:type="paragraph" w:styleId="5">
    <w:name w:val="heading 3"/>
    <w:basedOn w:val="1"/>
    <w:next w:val="1"/>
    <w:link w:val="15"/>
    <w:semiHidden/>
    <w:unhideWhenUsed/>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方正仿宋_GBK" w:cs="宋体"/>
      <w:b/>
      <w:sz w:val="32"/>
      <w:szCs w:val="2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880" w:firstLineChars="200"/>
    </w:pPr>
    <w:rPr>
      <w:rFonts w:ascii="Times New Roman" w:hAnsi="Times New Roman" w:eastAsia="方正仿宋_GBK" w:cs="Times New Roman"/>
      <w:sz w:val="32"/>
      <w:szCs w:val="24"/>
    </w:rPr>
  </w:style>
  <w:style w:type="paragraph" w:styleId="6">
    <w:name w:val="caption"/>
    <w:basedOn w:val="1"/>
    <w:next w:val="1"/>
    <w:semiHidden/>
    <w:unhideWhenUsed/>
    <w:qFormat/>
    <w:uiPriority w:val="0"/>
    <w:pPr>
      <w:spacing w:line="480" w:lineRule="auto"/>
      <w:ind w:firstLine="0" w:firstLineChars="0"/>
      <w:jc w:val="center"/>
    </w:pPr>
    <w:rPr>
      <w:rFonts w:ascii="Times New Roman" w:hAnsi="Times New Roman" w:eastAsia="方正楷体_GBK" w:cs="宋体"/>
      <w:b/>
      <w:sz w:val="28"/>
      <w:szCs w:val="22"/>
    </w:rPr>
  </w:style>
  <w:style w:type="paragraph" w:styleId="7">
    <w:name w:val="Body Text"/>
    <w:basedOn w:val="1"/>
    <w:next w:val="1"/>
    <w:qFormat/>
    <w:uiPriority w:val="0"/>
    <w:pPr>
      <w:spacing w:line="580" w:lineRule="exact"/>
      <w:ind w:firstLine="200" w:firstLineChars="200"/>
      <w:jc w:val="both"/>
    </w:pPr>
    <w:rPr>
      <w:rFonts w:ascii="Calibri" w:hAnsi="Calibri" w:eastAsia="仿宋_GB2312" w:cs="黑体"/>
      <w:sz w:val="3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0" w:firstLineChars="0"/>
    </w:pPr>
    <w:rPr>
      <w:rFonts w:ascii="宋体" w:hAnsi="宋体" w:eastAsia="方正楷体_GBK" w:cs="宋体"/>
      <w:sz w:val="32"/>
      <w:szCs w:val="22"/>
    </w:rPr>
  </w:style>
  <w:style w:type="paragraph" w:styleId="11">
    <w:name w:val="footnote text"/>
    <w:basedOn w:val="1"/>
    <w:qFormat/>
    <w:uiPriority w:val="0"/>
    <w:pPr>
      <w:snapToGrid w:val="0"/>
      <w:jc w:val="left"/>
    </w:pPr>
    <w:rPr>
      <w:sz w:val="18"/>
    </w:rPr>
  </w:style>
  <w:style w:type="character" w:styleId="13">
    <w:name w:val="footnote reference"/>
    <w:basedOn w:val="12"/>
    <w:qFormat/>
    <w:uiPriority w:val="0"/>
    <w:rPr>
      <w:vertAlign w:val="superscript"/>
    </w:rPr>
  </w:style>
  <w:style w:type="character" w:customStyle="1" w:styleId="15">
    <w:name w:val="标题 3 Char"/>
    <w:link w:val="5"/>
    <w:qFormat/>
    <w:uiPriority w:val="0"/>
    <w:rPr>
      <w:rFonts w:ascii="Times New Roman" w:hAnsi="Times New Roman" w:eastAsia="方正仿宋_GBK" w:cs="宋体"/>
      <w:b/>
      <w:sz w:val="32"/>
      <w:szCs w:val="22"/>
    </w:rPr>
  </w:style>
  <w:style w:type="paragraph" w:customStyle="1" w:styleId="16">
    <w:name w:val="我的正文"/>
    <w:qFormat/>
    <w:uiPriority w:val="0"/>
    <w:pPr>
      <w:widowControl w:val="0"/>
      <w:spacing w:line="580" w:lineRule="exact"/>
      <w:ind w:firstLine="420" w:firstLineChars="200"/>
      <w:jc w:val="both"/>
    </w:pPr>
    <w:rPr>
      <w:rFonts w:ascii="Times New Roman" w:hAnsi="Times New Roman" w:eastAsia="方正仿宋_GBK" w:cstheme="minorBidi"/>
      <w:sz w:val="32"/>
      <w:szCs w:val="32"/>
    </w:rPr>
  </w:style>
  <w:style w:type="character" w:customStyle="1" w:styleId="17">
    <w:name w:val="正式文 Char"/>
    <w:qFormat/>
    <w:uiPriority w:val="0"/>
    <w:rPr>
      <w:rFonts w:hint="eastAsia" w:ascii="仿宋_GB2312" w:hAnsi="仿宋_GB2312" w:eastAsia="方正仿宋_GBK" w:cs="Times New Roman"/>
      <w:color w:val="000000"/>
      <w:spacing w:val="-6"/>
      <w:sz w:val="32"/>
      <w:szCs w:val="22"/>
    </w:rPr>
  </w:style>
  <w:style w:type="paragraph" w:customStyle="1" w:styleId="18">
    <w:name w:val="正式文"/>
    <w:basedOn w:val="1"/>
    <w:link w:val="19"/>
    <w:qFormat/>
    <w:uiPriority w:val="0"/>
    <w:pPr>
      <w:ind w:firstLine="880"/>
    </w:pPr>
    <w:rPr>
      <w:rFonts w:hint="eastAsia"/>
      <w:spacing w:val="-6"/>
      <w:kern w:val="0"/>
      <w:szCs w:val="22"/>
    </w:rPr>
  </w:style>
  <w:style w:type="character" w:customStyle="1" w:styleId="19">
    <w:name w:val="正式文 Char1"/>
    <w:link w:val="18"/>
    <w:qFormat/>
    <w:uiPriority w:val="0"/>
    <w:rPr>
      <w:rFonts w:hint="eastAsia"/>
      <w:spacing w:val="-6"/>
      <w:kern w:val="0"/>
      <w:szCs w:val="22"/>
    </w:rPr>
  </w:style>
  <w:style w:type="character" w:customStyle="1" w:styleId="20">
    <w:name w:val="二级标题 Char1"/>
    <w:basedOn w:val="12"/>
    <w:qFormat/>
    <w:uiPriority w:val="0"/>
    <w:rPr>
      <w:rFonts w:ascii="方正楷体_GBK" w:hAnsi="方正楷体_GBK" w:eastAsia="方正楷体_GBK"/>
      <w:b/>
      <w:bCs/>
      <w:color w:val="000000"/>
      <w:kern w:val="44"/>
      <w:sz w:val="36"/>
      <w:szCs w:val="32"/>
      <w:lang w:val="en-US" w:eastAsia="zh-CN" w:bidi="ar-SA"/>
    </w:rPr>
  </w:style>
  <w:style w:type="paragraph" w:customStyle="1" w:styleId="21">
    <w:name w:val="二级标题"/>
    <w:next w:val="16"/>
    <w:qFormat/>
    <w:uiPriority w:val="0"/>
    <w:pPr>
      <w:widowControl w:val="0"/>
      <w:spacing w:line="600" w:lineRule="exact"/>
      <w:ind w:firstLine="420" w:firstLineChars="200"/>
      <w:jc w:val="both"/>
    </w:pPr>
    <w:rPr>
      <w:rFonts w:hint="eastAsia" w:ascii="方正楷体_GBK" w:hAnsi="方正楷体_GBK" w:eastAsia="方正楷体_GBK" w:cs="Times New Roman"/>
      <w:b/>
      <w:bCs/>
      <w:color w:val="000000"/>
      <w:kern w:val="44"/>
      <w:sz w:val="36"/>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2024-03-26T10:25:00Z</dcterms:created>
  <dc:creator>kanka</dc:creator>
  <cp:lastModifiedBy>张文坚</cp:lastModifiedBy>
  <dcterms:modified xsi:type="dcterms:W3CDTF">2026-03-17T09:10:40Z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D819A71B4E164368A0245BAA7FAAEDC4</vt:lpwstr>
  </property>
</Properties>
</file>