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60"/>
        <w:rPr>
          <w:rFonts w:hint="default" w:ascii="Times New Roman" w:hAnsi="Times New Roman" w:cs="Times New Roman"/>
          <w:color w:val="auto"/>
          <w:highlight w:val="none"/>
        </w:rPr>
      </w:pPr>
    </w:p>
    <w:p>
      <w:pPr>
        <w:pStyle w:val="18"/>
        <w:rPr>
          <w:rFonts w:hint="default" w:ascii="Times New Roman" w:hAnsi="Times New Roman" w:cs="Times New Roman"/>
          <w:color w:val="auto"/>
          <w:highlight w:val="none"/>
        </w:rPr>
      </w:pPr>
    </w:p>
    <w:p>
      <w:pPr>
        <w:pStyle w:val="18"/>
        <w:rPr>
          <w:rFonts w:hint="default" w:ascii="Times New Roman" w:hAnsi="Times New Roman" w:cs="Times New Roman"/>
          <w:color w:val="auto"/>
          <w:highlight w:val="none"/>
        </w:rPr>
      </w:pPr>
    </w:p>
    <w:p>
      <w:pPr>
        <w:pStyle w:val="18"/>
        <w:rPr>
          <w:rFonts w:hint="default" w:ascii="Times New Roman" w:hAnsi="Times New Roman" w:cs="Times New Roman"/>
          <w:color w:val="auto"/>
          <w:highlight w:val="none"/>
        </w:rPr>
      </w:pPr>
    </w:p>
    <w:p>
      <w:pPr>
        <w:pStyle w:val="18"/>
        <w:rPr>
          <w:rFonts w:hint="default" w:ascii="Times New Roman" w:hAnsi="Times New Roman" w:cs="Times New Roman"/>
          <w:color w:val="auto"/>
          <w:highlight w:val="none"/>
        </w:rPr>
      </w:pPr>
    </w:p>
    <w:p>
      <w:pPr>
        <w:spacing w:line="240" w:lineRule="auto"/>
        <w:ind w:firstLine="0" w:firstLineChars="0"/>
        <w:jc w:val="center"/>
        <w:rPr>
          <w:rFonts w:hint="default" w:ascii="Times New Roman" w:hAnsi="Times New Roman" w:eastAsia="微软雅黑" w:cs="Times New Roman"/>
          <w:bCs/>
          <w:color w:val="auto"/>
          <w:w w:val="90"/>
          <w:sz w:val="64"/>
          <w:szCs w:val="64"/>
          <w:highlight w:val="none"/>
        </w:rPr>
      </w:pPr>
      <w:r>
        <w:rPr>
          <w:rFonts w:hint="eastAsia" w:ascii="方正小标宋_GBK" w:hAnsi="方正小标宋_GBK" w:eastAsia="方正小标宋_GBK" w:cs="方正小标宋_GBK"/>
          <w:bCs/>
          <w:color w:val="auto"/>
          <w:w w:val="90"/>
          <w:sz w:val="64"/>
          <w:szCs w:val="64"/>
          <w:highlight w:val="none"/>
        </w:rPr>
        <w:t>宿迁市202</w:t>
      </w:r>
      <w:r>
        <w:rPr>
          <w:rFonts w:hint="eastAsia" w:ascii="方正小标宋_GBK" w:hAnsi="方正小标宋_GBK" w:eastAsia="方正小标宋_GBK" w:cs="方正小标宋_GBK"/>
          <w:bCs/>
          <w:color w:val="auto"/>
          <w:w w:val="90"/>
          <w:sz w:val="64"/>
          <w:szCs w:val="64"/>
          <w:highlight w:val="none"/>
          <w:lang w:val="en-US" w:eastAsia="zh-CN"/>
        </w:rPr>
        <w:t>5</w:t>
      </w:r>
      <w:r>
        <w:rPr>
          <w:rFonts w:hint="eastAsia" w:ascii="方正小标宋_GBK" w:hAnsi="方正小标宋_GBK" w:eastAsia="方正小标宋_GBK" w:cs="方正小标宋_GBK"/>
          <w:bCs/>
          <w:color w:val="auto"/>
          <w:w w:val="90"/>
          <w:sz w:val="64"/>
          <w:szCs w:val="64"/>
          <w:highlight w:val="none"/>
        </w:rPr>
        <w:t>年电力负荷管理预案</w:t>
      </w:r>
    </w:p>
    <w:p>
      <w:pPr>
        <w:ind w:firstLine="1600"/>
        <w:jc w:val="center"/>
        <w:rPr>
          <w:rFonts w:hint="default" w:ascii="Times New Roman" w:hAnsi="Times New Roman" w:cs="Times New Roman"/>
          <w:color w:val="auto"/>
          <w:sz w:val="80"/>
          <w:highlight w:val="none"/>
        </w:rPr>
      </w:pPr>
    </w:p>
    <w:p>
      <w:pPr>
        <w:ind w:firstLine="1600"/>
        <w:jc w:val="center"/>
        <w:rPr>
          <w:rFonts w:hint="default" w:ascii="Times New Roman" w:hAnsi="Times New Roman" w:cs="Times New Roman"/>
          <w:color w:val="auto"/>
          <w:sz w:val="80"/>
          <w:highlight w:val="none"/>
        </w:rPr>
      </w:pPr>
    </w:p>
    <w:p>
      <w:pPr>
        <w:ind w:firstLine="1600"/>
        <w:jc w:val="center"/>
        <w:rPr>
          <w:rFonts w:hint="default" w:ascii="Times New Roman" w:hAnsi="Times New Roman" w:cs="Times New Roman"/>
          <w:color w:val="auto"/>
          <w:sz w:val="80"/>
          <w:highlight w:val="none"/>
        </w:rPr>
      </w:pPr>
    </w:p>
    <w:p>
      <w:pPr>
        <w:pStyle w:val="2"/>
        <w:ind w:firstLine="560"/>
        <w:rPr>
          <w:rFonts w:hint="default" w:ascii="Times New Roman" w:hAnsi="Times New Roman" w:cs="Times New Roman"/>
          <w:color w:val="auto"/>
          <w:highlight w:val="none"/>
        </w:rPr>
      </w:pPr>
    </w:p>
    <w:p>
      <w:pPr>
        <w:ind w:firstLine="1600"/>
        <w:jc w:val="center"/>
        <w:rPr>
          <w:rFonts w:hint="default" w:ascii="Times New Roman" w:hAnsi="Times New Roman" w:cs="Times New Roman"/>
          <w:color w:val="auto"/>
          <w:sz w:val="80"/>
          <w:highlight w:val="none"/>
        </w:rPr>
      </w:pPr>
    </w:p>
    <w:p>
      <w:pPr>
        <w:spacing w:line="240" w:lineRule="exact"/>
        <w:ind w:firstLine="1600"/>
        <w:jc w:val="center"/>
        <w:rPr>
          <w:rFonts w:hint="default" w:ascii="Times New Roman" w:hAnsi="Times New Roman" w:cs="Times New Roman"/>
          <w:color w:val="auto"/>
          <w:sz w:val="80"/>
          <w:highlight w:val="none"/>
        </w:rPr>
      </w:pPr>
    </w:p>
    <w:p>
      <w:pPr>
        <w:spacing w:line="240" w:lineRule="exact"/>
        <w:ind w:firstLine="1600"/>
        <w:jc w:val="center"/>
        <w:rPr>
          <w:rFonts w:hint="default" w:ascii="Times New Roman" w:hAnsi="Times New Roman" w:cs="Times New Roman"/>
          <w:color w:val="auto"/>
          <w:sz w:val="80"/>
          <w:highlight w:val="none"/>
        </w:rPr>
      </w:pPr>
    </w:p>
    <w:p>
      <w:pPr>
        <w:ind w:firstLine="560"/>
        <w:rPr>
          <w:rFonts w:hint="default" w:ascii="Times New Roman" w:hAnsi="Times New Roman" w:cs="Times New Roman"/>
          <w:color w:val="auto"/>
          <w:highlight w:val="none"/>
        </w:rPr>
      </w:pPr>
    </w:p>
    <w:p>
      <w:pPr>
        <w:spacing w:after="312" w:afterLines="100"/>
        <w:ind w:firstLine="0" w:firstLineChars="0"/>
        <w:jc w:val="center"/>
        <w:rPr>
          <w:rFonts w:hint="default" w:ascii="Times New Roman" w:hAnsi="Times New Roman" w:eastAsia="方正黑体简体" w:cs="Times New Roman"/>
          <w:color w:val="auto"/>
          <w:sz w:val="44"/>
          <w:szCs w:val="44"/>
          <w:highlight w:val="none"/>
        </w:rPr>
      </w:pPr>
    </w:p>
    <w:p>
      <w:pPr>
        <w:spacing w:after="312" w:afterLines="100"/>
        <w:ind w:firstLine="0" w:firstLineChars="0"/>
        <w:jc w:val="center"/>
        <w:rPr>
          <w:rFonts w:hint="default" w:ascii="Times New Roman" w:hAnsi="Times New Roman" w:eastAsia="方正黑体简体" w:cs="Times New Roman"/>
          <w:color w:val="auto"/>
          <w:sz w:val="44"/>
          <w:szCs w:val="44"/>
          <w:highlight w:val="none"/>
        </w:rPr>
      </w:pPr>
    </w:p>
    <w:p>
      <w:pPr>
        <w:pStyle w:val="18"/>
        <w:rPr>
          <w:rFonts w:hint="default" w:ascii="Times New Roman" w:hAnsi="Times New Roman" w:cs="Times New Roman"/>
          <w:highlight w:val="none"/>
        </w:rPr>
      </w:pPr>
    </w:p>
    <w:p>
      <w:pPr>
        <w:spacing w:after="312" w:afterLines="100"/>
        <w:ind w:firstLine="0" w:firstLineChars="0"/>
        <w:jc w:val="center"/>
        <w:rPr>
          <w:rFonts w:hint="default" w:ascii="Times New Roman" w:hAnsi="Times New Roman" w:eastAsia="方正黑体简体" w:cs="Times New Roman"/>
          <w:color w:val="auto"/>
          <w:sz w:val="44"/>
          <w:szCs w:val="44"/>
          <w:highlight w:val="none"/>
        </w:rPr>
      </w:pPr>
      <w:r>
        <w:rPr>
          <w:rFonts w:hint="default" w:ascii="Times New Roman" w:hAnsi="Times New Roman" w:cs="Times New Roman"/>
          <w:color w:val="auto"/>
          <w:sz w:val="80"/>
          <w:highlight w:val="none"/>
        </w:rPr>
        <mc:AlternateContent>
          <mc:Choice Requires="wps">
            <w:drawing>
              <wp:anchor distT="0" distB="0" distL="114300" distR="114300" simplePos="0" relativeHeight="251660288" behindDoc="0" locked="0" layoutInCell="1" allowOverlap="1">
                <wp:simplePos x="0" y="0"/>
                <wp:positionH relativeFrom="column">
                  <wp:posOffset>1045845</wp:posOffset>
                </wp:positionH>
                <wp:positionV relativeFrom="paragraph">
                  <wp:posOffset>403860</wp:posOffset>
                </wp:positionV>
                <wp:extent cx="3266440" cy="2056130"/>
                <wp:effectExtent l="0" t="0" r="10160" b="1270"/>
                <wp:wrapNone/>
                <wp:docPr id="2" name="文本框 2"/>
                <wp:cNvGraphicFramePr/>
                <a:graphic xmlns:a="http://schemas.openxmlformats.org/drawingml/2006/main">
                  <a:graphicData uri="http://schemas.microsoft.com/office/word/2010/wordprocessingShape">
                    <wps:wsp>
                      <wps:cNvSpPr txBox="1"/>
                      <wps:spPr>
                        <a:xfrm>
                          <a:off x="1839595" y="3643630"/>
                          <a:ext cx="2818130" cy="2056130"/>
                        </a:xfrm>
                        <a:prstGeom prst="rect">
                          <a:avLst/>
                        </a:prstGeom>
                        <a:solidFill>
                          <a:srgbClr val="FFFFFF"/>
                        </a:solidFill>
                        <a:ln w="6350">
                          <a:noFill/>
                        </a:ln>
                        <a:effectLst/>
                      </wps:spPr>
                      <wps:txbx>
                        <w:txbxContent>
                          <w:p>
                            <w:pPr>
                              <w:keepNext w:val="0"/>
                              <w:keepLines w:val="0"/>
                              <w:pageBreakBefore w:val="0"/>
                              <w:widowControl w:val="0"/>
                              <w:kinsoku/>
                              <w:wordWrap/>
                              <w:overflowPunct/>
                              <w:topLinePunct w:val="0"/>
                              <w:autoSpaceDE/>
                              <w:autoSpaceDN/>
                              <w:bidi w:val="0"/>
                              <w:adjustRightInd/>
                              <w:snapToGrid/>
                              <w:spacing w:line="500" w:lineRule="exact"/>
                              <w:ind w:firstLine="720"/>
                              <w:jc w:val="distribute"/>
                              <w:textAlignment w:val="auto"/>
                              <w:rPr>
                                <w:rFonts w:hint="eastAsia" w:ascii="方正黑体简体" w:hAnsi="方正黑体简体" w:eastAsia="方正黑体简体" w:cs="方正黑体简体"/>
                                <w:bCs/>
                                <w:sz w:val="36"/>
                                <w:szCs w:val="36"/>
                              </w:rPr>
                            </w:pPr>
                            <w:r>
                              <w:rPr>
                                <w:rFonts w:hint="eastAsia" w:ascii="方正黑体简体" w:hAnsi="方正黑体简体" w:eastAsia="方正黑体简体" w:cs="方正黑体简体"/>
                                <w:bCs/>
                                <w:sz w:val="36"/>
                                <w:szCs w:val="36"/>
                              </w:rPr>
                              <w:t>宿迁市发展和改革委员会</w:t>
                            </w:r>
                          </w:p>
                          <w:p>
                            <w:pPr>
                              <w:keepNext w:val="0"/>
                              <w:keepLines w:val="0"/>
                              <w:pageBreakBefore w:val="0"/>
                              <w:widowControl w:val="0"/>
                              <w:kinsoku/>
                              <w:wordWrap/>
                              <w:overflowPunct/>
                              <w:topLinePunct w:val="0"/>
                              <w:autoSpaceDE/>
                              <w:autoSpaceDN/>
                              <w:bidi w:val="0"/>
                              <w:adjustRightInd/>
                              <w:snapToGrid/>
                              <w:spacing w:line="500" w:lineRule="exact"/>
                              <w:ind w:firstLine="720"/>
                              <w:jc w:val="distribute"/>
                              <w:textAlignment w:val="auto"/>
                              <w:rPr>
                                <w:rFonts w:hint="eastAsia" w:ascii="方正黑体简体" w:hAnsi="方正黑体简体" w:eastAsia="方正黑体简体" w:cs="方正黑体简体"/>
                                <w:bCs/>
                                <w:sz w:val="36"/>
                                <w:szCs w:val="36"/>
                              </w:rPr>
                            </w:pPr>
                            <w:r>
                              <w:rPr>
                                <w:rFonts w:hint="eastAsia" w:ascii="方正黑体简体" w:hAnsi="方正黑体简体" w:eastAsia="方正黑体简体" w:cs="方正黑体简体"/>
                                <w:bCs/>
                                <w:sz w:val="36"/>
                                <w:szCs w:val="36"/>
                              </w:rPr>
                              <w:t>国网宿迁供电公司</w:t>
                            </w:r>
                          </w:p>
                          <w:p>
                            <w:pPr>
                              <w:keepNext w:val="0"/>
                              <w:keepLines w:val="0"/>
                              <w:pageBreakBefore w:val="0"/>
                              <w:widowControl w:val="0"/>
                              <w:kinsoku/>
                              <w:wordWrap/>
                              <w:overflowPunct/>
                              <w:topLinePunct w:val="0"/>
                              <w:autoSpaceDE/>
                              <w:autoSpaceDN/>
                              <w:bidi w:val="0"/>
                              <w:adjustRightInd/>
                              <w:snapToGrid/>
                              <w:spacing w:line="500" w:lineRule="exact"/>
                              <w:ind w:firstLine="720"/>
                              <w:jc w:val="distribute"/>
                              <w:textAlignment w:val="auto"/>
                              <w:rPr>
                                <w:rFonts w:hint="eastAsia" w:ascii="方正黑体简体" w:hAnsi="方正黑体简体" w:eastAsia="方正黑体简体" w:cs="方正黑体简体"/>
                                <w:bCs/>
                                <w:sz w:val="36"/>
                                <w:szCs w:val="36"/>
                              </w:rPr>
                            </w:pPr>
                            <w:r>
                              <w:rPr>
                                <w:rFonts w:hint="eastAsia" w:ascii="方正黑体简体" w:hAnsi="方正黑体简体" w:eastAsia="方正黑体简体" w:cs="方正黑体简体"/>
                                <w:bCs/>
                                <w:sz w:val="36"/>
                                <w:szCs w:val="36"/>
                              </w:rPr>
                              <w:t>宿迁运河港配售电公司</w:t>
                            </w:r>
                          </w:p>
                          <w:p>
                            <w:pPr>
                              <w:keepNext w:val="0"/>
                              <w:keepLines w:val="0"/>
                              <w:pageBreakBefore w:val="0"/>
                              <w:widowControl w:val="0"/>
                              <w:kinsoku/>
                              <w:wordWrap/>
                              <w:overflowPunct/>
                              <w:topLinePunct w:val="0"/>
                              <w:autoSpaceDE/>
                              <w:autoSpaceDN/>
                              <w:bidi w:val="0"/>
                              <w:adjustRightInd/>
                              <w:snapToGrid/>
                              <w:spacing w:line="500" w:lineRule="exact"/>
                              <w:ind w:firstLine="720"/>
                              <w:jc w:val="distribute"/>
                              <w:textAlignment w:val="auto"/>
                              <w:rPr>
                                <w:rFonts w:hint="eastAsia" w:ascii="方正黑体简体" w:hAnsi="方正黑体简体" w:eastAsia="方正黑体简体" w:cs="方正黑体简体"/>
                                <w:bCs/>
                                <w:sz w:val="36"/>
                                <w:szCs w:val="36"/>
                              </w:rPr>
                            </w:pPr>
                            <w:r>
                              <w:rPr>
                                <w:rFonts w:hint="eastAsia" w:ascii="方正黑体简体" w:hAnsi="方正黑体简体" w:eastAsia="方正黑体简体" w:cs="方正黑体简体"/>
                                <w:bCs/>
                                <w:sz w:val="36"/>
                                <w:szCs w:val="36"/>
                              </w:rPr>
                              <w:t>江苏港恒配售电公司</w:t>
                            </w:r>
                          </w:p>
                          <w:p>
                            <w:pPr>
                              <w:keepNext w:val="0"/>
                              <w:keepLines w:val="0"/>
                              <w:pageBreakBefore w:val="0"/>
                              <w:widowControl w:val="0"/>
                              <w:kinsoku/>
                              <w:wordWrap/>
                              <w:overflowPunct/>
                              <w:topLinePunct w:val="0"/>
                              <w:autoSpaceDE/>
                              <w:autoSpaceDN/>
                              <w:bidi w:val="0"/>
                              <w:adjustRightInd/>
                              <w:snapToGrid/>
                              <w:spacing w:line="500" w:lineRule="exact"/>
                              <w:ind w:firstLine="720"/>
                              <w:jc w:val="distribute"/>
                              <w:textAlignment w:val="auto"/>
                              <w:rPr>
                                <w:rFonts w:hint="eastAsia" w:ascii="方正黑体简体" w:hAnsi="方正黑体简体" w:eastAsia="方正黑体简体" w:cs="方正黑体简体"/>
                                <w:bCs/>
                                <w:sz w:val="36"/>
                                <w:szCs w:val="36"/>
                              </w:rPr>
                            </w:pPr>
                            <w:r>
                              <w:rPr>
                                <w:rFonts w:hint="eastAsia" w:ascii="方正黑体简体" w:hAnsi="方正黑体简体" w:eastAsia="方正黑体简体" w:cs="方正黑体简体"/>
                                <w:bCs/>
                                <w:sz w:val="36"/>
                                <w:szCs w:val="36"/>
                              </w:rPr>
                              <w:t>宿迁东开配售电公司</w:t>
                            </w:r>
                          </w:p>
                          <w:p>
                            <w:pPr>
                              <w:keepNext w:val="0"/>
                              <w:keepLines w:val="0"/>
                              <w:pageBreakBefore w:val="0"/>
                              <w:widowControl w:val="0"/>
                              <w:kinsoku/>
                              <w:wordWrap/>
                              <w:overflowPunct/>
                              <w:topLinePunct w:val="0"/>
                              <w:autoSpaceDE/>
                              <w:autoSpaceDN/>
                              <w:bidi w:val="0"/>
                              <w:adjustRightInd/>
                              <w:snapToGrid/>
                              <w:spacing w:line="500" w:lineRule="exact"/>
                              <w:ind w:firstLine="720"/>
                              <w:jc w:val="center"/>
                              <w:textAlignment w:val="auto"/>
                              <w:rPr>
                                <w:rFonts w:hint="default" w:ascii="Times New Roman" w:hAnsi="Times New Roman" w:cs="Times New Roman"/>
                              </w:rPr>
                            </w:pPr>
                            <w:r>
                              <w:rPr>
                                <w:rFonts w:hint="default" w:ascii="Times New Roman" w:hAnsi="Times New Roman" w:eastAsia="方正黑体简体" w:cs="Times New Roman"/>
                                <w:bCs/>
                                <w:sz w:val="36"/>
                                <w:szCs w:val="36"/>
                              </w:rPr>
                              <w:t>202</w:t>
                            </w:r>
                            <w:r>
                              <w:rPr>
                                <w:rFonts w:hint="eastAsia" w:ascii="Times New Roman" w:hAnsi="Times New Roman" w:eastAsia="方正黑体简体" w:cs="Times New Roman"/>
                                <w:bCs/>
                                <w:sz w:val="36"/>
                                <w:szCs w:val="36"/>
                                <w:lang w:val="en-US" w:eastAsia="zh-CN"/>
                              </w:rPr>
                              <w:t>5</w:t>
                            </w:r>
                            <w:r>
                              <w:rPr>
                                <w:rFonts w:hint="default" w:ascii="Times New Roman" w:hAnsi="Times New Roman" w:eastAsia="方正黑体简体" w:cs="Times New Roman"/>
                                <w:bCs/>
                                <w:sz w:val="36"/>
                                <w:szCs w:val="36"/>
                              </w:rPr>
                              <w:t>年</w:t>
                            </w:r>
                            <w:r>
                              <w:rPr>
                                <w:rFonts w:hint="eastAsia" w:ascii="Times New Roman" w:hAnsi="Times New Roman" w:eastAsia="方正黑体简体" w:cs="Times New Roman"/>
                                <w:bCs/>
                                <w:sz w:val="36"/>
                                <w:szCs w:val="36"/>
                                <w:lang w:val="en-US" w:eastAsia="zh-CN"/>
                              </w:rPr>
                              <w:t>5</w:t>
                            </w:r>
                            <w:r>
                              <w:rPr>
                                <w:rFonts w:hint="default" w:ascii="Times New Roman" w:hAnsi="Times New Roman" w:eastAsia="方正黑体简体" w:cs="Times New Roman"/>
                                <w:bCs/>
                                <w:sz w:val="36"/>
                                <w:szCs w:val="36"/>
                              </w:rPr>
                              <w:t>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2.35pt;margin-top:31.8pt;height:161.9pt;width:257.2pt;z-index:251660288;mso-width-relative:page;mso-height-relative:page;" fillcolor="#FFFFFF" filled="t" stroked="f" coordsize="21600,21600" o:gfxdata="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Nj3351QAAAAoBAAAPAAAAAAAAAAEAIAAAACIA&#10;AABkcnMvZG93bnJldi54bWxQSwECFAAUAAAACACHTuJAFPW7fUUCAABcBAAADgAAAAAAAAABACAA&#10;AAAkAQAAZHJzL2Uyb0RvYy54bWxQSwUGAAAAAAYABgBZAQAA2w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00" w:lineRule="exact"/>
                        <w:ind w:firstLine="720"/>
                        <w:jc w:val="distribute"/>
                        <w:textAlignment w:val="auto"/>
                        <w:rPr>
                          <w:rFonts w:hint="eastAsia" w:ascii="方正黑体简体" w:hAnsi="方正黑体简体" w:eastAsia="方正黑体简体" w:cs="方正黑体简体"/>
                          <w:bCs/>
                          <w:sz w:val="36"/>
                          <w:szCs w:val="36"/>
                        </w:rPr>
                      </w:pPr>
                      <w:r>
                        <w:rPr>
                          <w:rFonts w:hint="eastAsia" w:ascii="方正黑体简体" w:hAnsi="方正黑体简体" w:eastAsia="方正黑体简体" w:cs="方正黑体简体"/>
                          <w:bCs/>
                          <w:sz w:val="36"/>
                          <w:szCs w:val="36"/>
                        </w:rPr>
                        <w:t>宿迁市发展和改革委员会</w:t>
                      </w:r>
                    </w:p>
                    <w:p>
                      <w:pPr>
                        <w:keepNext w:val="0"/>
                        <w:keepLines w:val="0"/>
                        <w:pageBreakBefore w:val="0"/>
                        <w:widowControl w:val="0"/>
                        <w:kinsoku/>
                        <w:wordWrap/>
                        <w:overflowPunct/>
                        <w:topLinePunct w:val="0"/>
                        <w:autoSpaceDE/>
                        <w:autoSpaceDN/>
                        <w:bidi w:val="0"/>
                        <w:adjustRightInd/>
                        <w:snapToGrid/>
                        <w:spacing w:line="500" w:lineRule="exact"/>
                        <w:ind w:firstLine="720"/>
                        <w:jc w:val="distribute"/>
                        <w:textAlignment w:val="auto"/>
                        <w:rPr>
                          <w:rFonts w:hint="eastAsia" w:ascii="方正黑体简体" w:hAnsi="方正黑体简体" w:eastAsia="方正黑体简体" w:cs="方正黑体简体"/>
                          <w:bCs/>
                          <w:sz w:val="36"/>
                          <w:szCs w:val="36"/>
                        </w:rPr>
                      </w:pPr>
                      <w:r>
                        <w:rPr>
                          <w:rFonts w:hint="eastAsia" w:ascii="方正黑体简体" w:hAnsi="方正黑体简体" w:eastAsia="方正黑体简体" w:cs="方正黑体简体"/>
                          <w:bCs/>
                          <w:sz w:val="36"/>
                          <w:szCs w:val="36"/>
                        </w:rPr>
                        <w:t>国网宿迁供电公司</w:t>
                      </w:r>
                    </w:p>
                    <w:p>
                      <w:pPr>
                        <w:keepNext w:val="0"/>
                        <w:keepLines w:val="0"/>
                        <w:pageBreakBefore w:val="0"/>
                        <w:widowControl w:val="0"/>
                        <w:kinsoku/>
                        <w:wordWrap/>
                        <w:overflowPunct/>
                        <w:topLinePunct w:val="0"/>
                        <w:autoSpaceDE/>
                        <w:autoSpaceDN/>
                        <w:bidi w:val="0"/>
                        <w:adjustRightInd/>
                        <w:snapToGrid/>
                        <w:spacing w:line="500" w:lineRule="exact"/>
                        <w:ind w:firstLine="720"/>
                        <w:jc w:val="distribute"/>
                        <w:textAlignment w:val="auto"/>
                        <w:rPr>
                          <w:rFonts w:hint="eastAsia" w:ascii="方正黑体简体" w:hAnsi="方正黑体简体" w:eastAsia="方正黑体简体" w:cs="方正黑体简体"/>
                          <w:bCs/>
                          <w:sz w:val="36"/>
                          <w:szCs w:val="36"/>
                        </w:rPr>
                      </w:pPr>
                      <w:r>
                        <w:rPr>
                          <w:rFonts w:hint="eastAsia" w:ascii="方正黑体简体" w:hAnsi="方正黑体简体" w:eastAsia="方正黑体简体" w:cs="方正黑体简体"/>
                          <w:bCs/>
                          <w:sz w:val="36"/>
                          <w:szCs w:val="36"/>
                        </w:rPr>
                        <w:t>宿迁运河港配售电公司</w:t>
                      </w:r>
                    </w:p>
                    <w:p>
                      <w:pPr>
                        <w:keepNext w:val="0"/>
                        <w:keepLines w:val="0"/>
                        <w:pageBreakBefore w:val="0"/>
                        <w:widowControl w:val="0"/>
                        <w:kinsoku/>
                        <w:wordWrap/>
                        <w:overflowPunct/>
                        <w:topLinePunct w:val="0"/>
                        <w:autoSpaceDE/>
                        <w:autoSpaceDN/>
                        <w:bidi w:val="0"/>
                        <w:adjustRightInd/>
                        <w:snapToGrid/>
                        <w:spacing w:line="500" w:lineRule="exact"/>
                        <w:ind w:firstLine="720"/>
                        <w:jc w:val="distribute"/>
                        <w:textAlignment w:val="auto"/>
                        <w:rPr>
                          <w:rFonts w:hint="eastAsia" w:ascii="方正黑体简体" w:hAnsi="方正黑体简体" w:eastAsia="方正黑体简体" w:cs="方正黑体简体"/>
                          <w:bCs/>
                          <w:sz w:val="36"/>
                          <w:szCs w:val="36"/>
                        </w:rPr>
                      </w:pPr>
                      <w:r>
                        <w:rPr>
                          <w:rFonts w:hint="eastAsia" w:ascii="方正黑体简体" w:hAnsi="方正黑体简体" w:eastAsia="方正黑体简体" w:cs="方正黑体简体"/>
                          <w:bCs/>
                          <w:sz w:val="36"/>
                          <w:szCs w:val="36"/>
                        </w:rPr>
                        <w:t>江苏港恒配售电公司</w:t>
                      </w:r>
                    </w:p>
                    <w:p>
                      <w:pPr>
                        <w:keepNext w:val="0"/>
                        <w:keepLines w:val="0"/>
                        <w:pageBreakBefore w:val="0"/>
                        <w:widowControl w:val="0"/>
                        <w:kinsoku/>
                        <w:wordWrap/>
                        <w:overflowPunct/>
                        <w:topLinePunct w:val="0"/>
                        <w:autoSpaceDE/>
                        <w:autoSpaceDN/>
                        <w:bidi w:val="0"/>
                        <w:adjustRightInd/>
                        <w:snapToGrid/>
                        <w:spacing w:line="500" w:lineRule="exact"/>
                        <w:ind w:firstLine="720"/>
                        <w:jc w:val="distribute"/>
                        <w:textAlignment w:val="auto"/>
                        <w:rPr>
                          <w:rFonts w:hint="eastAsia" w:ascii="方正黑体简体" w:hAnsi="方正黑体简体" w:eastAsia="方正黑体简体" w:cs="方正黑体简体"/>
                          <w:bCs/>
                          <w:sz w:val="36"/>
                          <w:szCs w:val="36"/>
                        </w:rPr>
                      </w:pPr>
                      <w:r>
                        <w:rPr>
                          <w:rFonts w:hint="eastAsia" w:ascii="方正黑体简体" w:hAnsi="方正黑体简体" w:eastAsia="方正黑体简体" w:cs="方正黑体简体"/>
                          <w:bCs/>
                          <w:sz w:val="36"/>
                          <w:szCs w:val="36"/>
                        </w:rPr>
                        <w:t>宿迁东开配售电公司</w:t>
                      </w:r>
                    </w:p>
                    <w:p>
                      <w:pPr>
                        <w:keepNext w:val="0"/>
                        <w:keepLines w:val="0"/>
                        <w:pageBreakBefore w:val="0"/>
                        <w:widowControl w:val="0"/>
                        <w:kinsoku/>
                        <w:wordWrap/>
                        <w:overflowPunct/>
                        <w:topLinePunct w:val="0"/>
                        <w:autoSpaceDE/>
                        <w:autoSpaceDN/>
                        <w:bidi w:val="0"/>
                        <w:adjustRightInd/>
                        <w:snapToGrid/>
                        <w:spacing w:line="500" w:lineRule="exact"/>
                        <w:ind w:firstLine="720"/>
                        <w:jc w:val="center"/>
                        <w:textAlignment w:val="auto"/>
                        <w:rPr>
                          <w:rFonts w:hint="default" w:ascii="Times New Roman" w:hAnsi="Times New Roman" w:cs="Times New Roman"/>
                        </w:rPr>
                      </w:pPr>
                      <w:r>
                        <w:rPr>
                          <w:rFonts w:hint="default" w:ascii="Times New Roman" w:hAnsi="Times New Roman" w:eastAsia="方正黑体简体" w:cs="Times New Roman"/>
                          <w:bCs/>
                          <w:sz w:val="36"/>
                          <w:szCs w:val="36"/>
                        </w:rPr>
                        <w:t>202</w:t>
                      </w:r>
                      <w:r>
                        <w:rPr>
                          <w:rFonts w:hint="eastAsia" w:ascii="Times New Roman" w:hAnsi="Times New Roman" w:eastAsia="方正黑体简体" w:cs="Times New Roman"/>
                          <w:bCs/>
                          <w:sz w:val="36"/>
                          <w:szCs w:val="36"/>
                          <w:lang w:val="en-US" w:eastAsia="zh-CN"/>
                        </w:rPr>
                        <w:t>5</w:t>
                      </w:r>
                      <w:r>
                        <w:rPr>
                          <w:rFonts w:hint="default" w:ascii="Times New Roman" w:hAnsi="Times New Roman" w:eastAsia="方正黑体简体" w:cs="Times New Roman"/>
                          <w:bCs/>
                          <w:sz w:val="36"/>
                          <w:szCs w:val="36"/>
                        </w:rPr>
                        <w:t>年</w:t>
                      </w:r>
                      <w:r>
                        <w:rPr>
                          <w:rFonts w:hint="eastAsia" w:ascii="Times New Roman" w:hAnsi="Times New Roman" w:eastAsia="方正黑体简体" w:cs="Times New Roman"/>
                          <w:bCs/>
                          <w:sz w:val="36"/>
                          <w:szCs w:val="36"/>
                          <w:lang w:val="en-US" w:eastAsia="zh-CN"/>
                        </w:rPr>
                        <w:t>5</w:t>
                      </w:r>
                      <w:r>
                        <w:rPr>
                          <w:rFonts w:hint="default" w:ascii="Times New Roman" w:hAnsi="Times New Roman" w:eastAsia="方正黑体简体" w:cs="Times New Roman"/>
                          <w:bCs/>
                          <w:sz w:val="36"/>
                          <w:szCs w:val="36"/>
                        </w:rPr>
                        <w:t>月</w:t>
                      </w:r>
                    </w:p>
                  </w:txbxContent>
                </v:textbox>
              </v:shape>
            </w:pict>
          </mc:Fallback>
        </mc:AlternateContent>
      </w:r>
    </w:p>
    <w:p>
      <w:pPr>
        <w:spacing w:after="312" w:afterLines="100"/>
        <w:ind w:firstLine="0" w:firstLineChars="0"/>
        <w:jc w:val="center"/>
        <w:rPr>
          <w:rFonts w:hint="default" w:ascii="Times New Roman" w:hAnsi="Times New Roman" w:eastAsia="方正黑体简体" w:cs="Times New Roman"/>
          <w:color w:val="auto"/>
          <w:sz w:val="44"/>
          <w:szCs w:val="44"/>
          <w:highlight w:val="none"/>
        </w:rPr>
      </w:pPr>
    </w:p>
    <w:p>
      <w:pPr>
        <w:spacing w:after="312" w:afterLines="100"/>
        <w:ind w:firstLine="0" w:firstLineChars="0"/>
        <w:jc w:val="center"/>
        <w:rPr>
          <w:rFonts w:hint="default" w:ascii="Times New Roman" w:hAnsi="Times New Roman" w:eastAsia="方正黑体简体" w:cs="Times New Roman"/>
          <w:color w:val="auto"/>
          <w:sz w:val="44"/>
          <w:szCs w:val="44"/>
          <w:highlight w:val="none"/>
        </w:rPr>
      </w:pPr>
    </w:p>
    <w:p>
      <w:pPr>
        <w:spacing w:after="312" w:afterLines="100"/>
        <w:ind w:firstLine="0" w:firstLineChars="0"/>
        <w:jc w:val="center"/>
        <w:rPr>
          <w:rFonts w:hint="default" w:ascii="Times New Roman" w:hAnsi="Times New Roman" w:eastAsia="方正黑体简体" w:cs="Times New Roman"/>
          <w:color w:val="auto"/>
          <w:sz w:val="44"/>
          <w:szCs w:val="44"/>
          <w:highlight w:val="none"/>
        </w:rPr>
      </w:pPr>
    </w:p>
    <w:p>
      <w:pPr>
        <w:spacing w:after="312" w:afterLines="100"/>
        <w:ind w:firstLine="0" w:firstLineChars="0"/>
        <w:jc w:val="center"/>
        <w:rPr>
          <w:rFonts w:hint="default" w:ascii="Times New Roman" w:hAnsi="Times New Roman" w:eastAsia="方正黑体简体" w:cs="Times New Roman"/>
          <w:color w:val="auto"/>
          <w:sz w:val="44"/>
          <w:szCs w:val="44"/>
          <w:highlight w:val="none"/>
        </w:rPr>
      </w:pPr>
    </w:p>
    <w:p>
      <w:pPr>
        <w:spacing w:after="312" w:afterLines="100"/>
        <w:ind w:firstLine="0" w:firstLineChars="0"/>
        <w:jc w:val="center"/>
        <w:rPr>
          <w:rFonts w:hint="default" w:ascii="Times New Roman" w:hAnsi="Times New Roman" w:eastAsia="方正黑体简体" w:cs="Times New Roman"/>
          <w:color w:val="auto"/>
          <w:sz w:val="44"/>
          <w:szCs w:val="44"/>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474" w:bottom="1474" w:left="1474" w:header="851" w:footer="567" w:gutter="0"/>
          <w:pgBorders>
            <w:top w:val="none" w:sz="0" w:space="0"/>
            <w:left w:val="none" w:sz="0" w:space="0"/>
            <w:bottom w:val="none" w:sz="0" w:space="0"/>
            <w:right w:val="none" w:sz="0" w:space="0"/>
          </w:pgBorders>
          <w:pgNumType w:start="1"/>
          <w:cols w:space="720" w:num="1"/>
          <w:docGrid w:type="linesAndChars" w:linePitch="312" w:charSpace="0"/>
        </w:sectPr>
      </w:pPr>
    </w:p>
    <w:p>
      <w:pPr>
        <w:pStyle w:val="2"/>
        <w:rPr>
          <w:rFonts w:hint="default" w:ascii="Times New Roman" w:hAnsi="Times New Roman" w:cs="Times New Roman"/>
          <w:color w:val="auto"/>
          <w:highlight w:val="none"/>
        </w:rPr>
      </w:pPr>
    </w:p>
    <w:p>
      <w:pPr>
        <w:spacing w:after="312" w:afterLines="100"/>
        <w:ind w:firstLine="0" w:firstLineChars="0"/>
        <w:jc w:val="center"/>
        <w:rPr>
          <w:rFonts w:hint="default" w:ascii="Times New Roman" w:hAnsi="Times New Roman" w:eastAsia="方正黑体简体" w:cs="Times New Roman"/>
          <w:color w:val="auto"/>
          <w:sz w:val="44"/>
          <w:szCs w:val="44"/>
          <w:highlight w:val="none"/>
        </w:rPr>
      </w:pPr>
    </w:p>
    <w:p>
      <w:pPr>
        <w:spacing w:after="312" w:afterLines="100"/>
        <w:ind w:firstLine="0" w:firstLineChars="0"/>
        <w:jc w:val="center"/>
        <w:rPr>
          <w:rFonts w:hint="default" w:ascii="Times New Roman" w:hAnsi="Times New Roman" w:eastAsia="方正黑体简体" w:cs="Times New Roman"/>
          <w:color w:val="auto"/>
          <w:sz w:val="44"/>
          <w:szCs w:val="44"/>
          <w:highlight w:val="none"/>
        </w:rPr>
      </w:pPr>
    </w:p>
    <w:p>
      <w:pPr>
        <w:spacing w:after="312" w:afterLines="100"/>
        <w:ind w:firstLine="0" w:firstLineChars="0"/>
        <w:jc w:val="center"/>
        <w:rPr>
          <w:rFonts w:hint="default" w:ascii="Times New Roman" w:hAnsi="Times New Roman" w:eastAsia="方正黑体简体" w:cs="Times New Roman"/>
          <w:color w:val="auto"/>
          <w:sz w:val="44"/>
          <w:szCs w:val="44"/>
          <w:highlight w:val="none"/>
        </w:rPr>
      </w:pPr>
    </w:p>
    <w:p>
      <w:pPr>
        <w:spacing w:after="312" w:afterLines="100"/>
        <w:ind w:firstLine="0" w:firstLineChars="0"/>
        <w:jc w:val="center"/>
        <w:rPr>
          <w:rFonts w:hint="default" w:ascii="Times New Roman" w:hAnsi="Times New Roman" w:eastAsia="方正黑体简体" w:cs="Times New Roman"/>
          <w:color w:val="auto"/>
          <w:sz w:val="44"/>
          <w:szCs w:val="44"/>
          <w:highlight w:val="none"/>
        </w:rPr>
      </w:pPr>
    </w:p>
    <w:p>
      <w:pPr>
        <w:spacing w:after="312" w:afterLines="100"/>
        <w:ind w:firstLine="0" w:firstLineChars="0"/>
        <w:jc w:val="center"/>
        <w:rPr>
          <w:rFonts w:hint="default" w:ascii="Times New Roman" w:hAnsi="Times New Roman" w:eastAsia="方正黑体简体" w:cs="Times New Roman"/>
          <w:color w:val="auto"/>
          <w:sz w:val="44"/>
          <w:szCs w:val="44"/>
          <w:highlight w:val="none"/>
        </w:rPr>
      </w:pPr>
    </w:p>
    <w:p>
      <w:pPr>
        <w:spacing w:after="312" w:afterLines="100"/>
        <w:ind w:firstLine="0" w:firstLineChars="0"/>
        <w:jc w:val="center"/>
        <w:rPr>
          <w:rFonts w:hint="default" w:ascii="Times New Roman" w:hAnsi="Times New Roman" w:eastAsia="方正黑体简体" w:cs="Times New Roman"/>
          <w:color w:val="auto"/>
          <w:sz w:val="44"/>
          <w:szCs w:val="44"/>
          <w:highlight w:val="none"/>
        </w:rPr>
      </w:pPr>
    </w:p>
    <w:p>
      <w:pPr>
        <w:spacing w:after="312" w:afterLines="100"/>
        <w:ind w:firstLine="0" w:firstLineChars="0"/>
        <w:jc w:val="center"/>
        <w:rPr>
          <w:rFonts w:hint="default" w:ascii="Times New Roman" w:hAnsi="Times New Roman" w:eastAsia="方正黑体简体" w:cs="Times New Roman"/>
          <w:color w:val="auto"/>
          <w:sz w:val="44"/>
          <w:szCs w:val="44"/>
          <w:highlight w:val="none"/>
        </w:rPr>
      </w:pPr>
    </w:p>
    <w:p>
      <w:pPr>
        <w:spacing w:after="312" w:afterLines="100"/>
        <w:ind w:firstLine="0" w:firstLineChars="0"/>
        <w:jc w:val="center"/>
        <w:rPr>
          <w:rFonts w:hint="default" w:ascii="Times New Roman" w:hAnsi="Times New Roman" w:eastAsia="方正黑体简体" w:cs="Times New Roman"/>
          <w:color w:val="auto"/>
          <w:sz w:val="44"/>
          <w:szCs w:val="44"/>
          <w:highlight w:val="none"/>
        </w:rPr>
      </w:pPr>
    </w:p>
    <w:p>
      <w:pPr>
        <w:spacing w:after="312" w:afterLines="100"/>
        <w:ind w:firstLine="0" w:firstLineChars="0"/>
        <w:jc w:val="center"/>
        <w:rPr>
          <w:rFonts w:hint="default" w:ascii="Times New Roman" w:hAnsi="Times New Roman" w:eastAsia="方正黑体简体" w:cs="Times New Roman"/>
          <w:color w:val="auto"/>
          <w:sz w:val="44"/>
          <w:szCs w:val="44"/>
          <w:highlight w:val="none"/>
        </w:rPr>
      </w:pPr>
    </w:p>
    <w:p>
      <w:pPr>
        <w:spacing w:after="312" w:afterLines="100"/>
        <w:ind w:firstLine="0" w:firstLineChars="0"/>
        <w:jc w:val="center"/>
        <w:rPr>
          <w:rFonts w:hint="default" w:ascii="Times New Roman" w:hAnsi="Times New Roman" w:eastAsia="方正黑体简体" w:cs="Times New Roman"/>
          <w:color w:val="auto"/>
          <w:sz w:val="44"/>
          <w:szCs w:val="44"/>
          <w:highlight w:val="none"/>
        </w:rPr>
      </w:pPr>
    </w:p>
    <w:p>
      <w:pPr>
        <w:spacing w:after="312" w:afterLines="100"/>
        <w:ind w:firstLine="0" w:firstLineChars="0"/>
        <w:jc w:val="center"/>
        <w:rPr>
          <w:rFonts w:hint="default" w:ascii="Times New Roman" w:hAnsi="Times New Roman" w:eastAsia="方正黑体简体" w:cs="Times New Roman"/>
          <w:color w:val="auto"/>
          <w:sz w:val="44"/>
          <w:szCs w:val="44"/>
          <w:highlight w:val="none"/>
        </w:rPr>
      </w:pPr>
    </w:p>
    <w:p>
      <w:pPr>
        <w:spacing w:after="312" w:afterLines="100"/>
        <w:ind w:firstLine="0" w:firstLineChars="0"/>
        <w:jc w:val="center"/>
        <w:rPr>
          <w:rFonts w:hint="default" w:ascii="Times New Roman" w:hAnsi="Times New Roman" w:eastAsia="方正黑体简体" w:cs="Times New Roman"/>
          <w:color w:val="auto"/>
          <w:sz w:val="44"/>
          <w:szCs w:val="44"/>
          <w:highlight w:val="none"/>
        </w:rPr>
      </w:pPr>
    </w:p>
    <w:p>
      <w:pPr>
        <w:spacing w:after="312" w:afterLines="100"/>
        <w:ind w:firstLine="0" w:firstLineChars="0"/>
        <w:jc w:val="center"/>
        <w:rPr>
          <w:rFonts w:hint="default" w:ascii="Times New Roman" w:hAnsi="Times New Roman" w:eastAsia="方正黑体简体" w:cs="Times New Roman"/>
          <w:color w:val="auto"/>
          <w:sz w:val="44"/>
          <w:szCs w:val="44"/>
          <w:highlight w:val="none"/>
        </w:rPr>
      </w:pPr>
    </w:p>
    <w:p>
      <w:pPr>
        <w:spacing w:after="312" w:afterLines="100"/>
        <w:ind w:firstLine="0" w:firstLineChars="0"/>
        <w:jc w:val="center"/>
        <w:rPr>
          <w:rFonts w:hint="default" w:ascii="Times New Roman" w:hAnsi="Times New Roman" w:eastAsia="方正黑体简体" w:cs="Times New Roman"/>
          <w:color w:val="auto"/>
          <w:sz w:val="44"/>
          <w:szCs w:val="44"/>
          <w:highlight w:val="none"/>
        </w:rPr>
      </w:pPr>
    </w:p>
    <w:p>
      <w:pPr>
        <w:spacing w:after="312" w:afterLines="100"/>
        <w:ind w:firstLine="0" w:firstLineChars="0"/>
        <w:jc w:val="center"/>
        <w:rPr>
          <w:rFonts w:hint="default" w:ascii="Times New Roman" w:hAnsi="Times New Roman" w:eastAsia="方正黑体简体" w:cs="Times New Roman"/>
          <w:color w:val="auto"/>
          <w:sz w:val="44"/>
          <w:szCs w:val="44"/>
          <w:highlight w:val="none"/>
        </w:rPr>
      </w:pPr>
    </w:p>
    <w:p>
      <w:pPr>
        <w:pStyle w:val="2"/>
        <w:ind w:firstLine="560"/>
        <w:rPr>
          <w:rFonts w:hint="default" w:ascii="Times New Roman" w:hAnsi="Times New Roman" w:cs="Times New Roman"/>
          <w:color w:val="auto"/>
          <w:highlight w:val="none"/>
        </w:rPr>
      </w:pPr>
    </w:p>
    <w:p>
      <w:pPr>
        <w:spacing w:line="240" w:lineRule="auto"/>
        <w:ind w:firstLine="0" w:firstLineChars="0"/>
        <w:jc w:val="center"/>
        <w:rPr>
          <w:rFonts w:hint="default" w:ascii="Times New Roman" w:hAnsi="Times New Roman" w:eastAsia="方正黑体简体" w:cs="Times New Roman"/>
          <w:color w:val="auto"/>
          <w:sz w:val="44"/>
          <w:szCs w:val="44"/>
          <w:highlight w:val="none"/>
        </w:rPr>
        <w:sectPr>
          <w:footerReference r:id="rId11" w:type="default"/>
          <w:pgSz w:w="11906" w:h="16838"/>
          <w:pgMar w:top="1440" w:right="1474" w:bottom="1474" w:left="1474" w:header="851" w:footer="567" w:gutter="0"/>
          <w:pgBorders>
            <w:top w:val="none" w:sz="0" w:space="0"/>
            <w:left w:val="none" w:sz="0" w:space="0"/>
            <w:bottom w:val="none" w:sz="0" w:space="0"/>
            <w:right w:val="none" w:sz="0" w:space="0"/>
          </w:pgBorders>
          <w:pgNumType w:start="1"/>
          <w:cols w:space="720" w:num="1"/>
          <w:docGrid w:type="linesAndChars" w:linePitch="312" w:charSpace="0"/>
        </w:sectPr>
      </w:pPr>
    </w:p>
    <w:p>
      <w:pPr>
        <w:keepNext w:val="0"/>
        <w:keepLines w:val="0"/>
        <w:pageBreakBefore w:val="0"/>
        <w:widowControl w:val="0"/>
        <w:kinsoku/>
        <w:wordWrap/>
        <w:overflowPunct/>
        <w:topLinePunct w:val="0"/>
        <w:autoSpaceDE/>
        <w:autoSpaceDN/>
        <w:bidi w:val="0"/>
        <w:adjustRightInd/>
        <w:snapToGrid/>
        <w:spacing w:before="157" w:beforeLines="50" w:line="500" w:lineRule="exact"/>
        <w:ind w:firstLine="0" w:firstLineChars="0"/>
        <w:jc w:val="center"/>
        <w:textAlignment w:val="auto"/>
        <w:outlineLvl w:val="9"/>
        <w:rPr>
          <w:rFonts w:hint="default" w:ascii="Times New Roman" w:hAnsi="Times New Roman" w:eastAsia="方正黑体简体" w:cs="Times New Roman"/>
          <w:color w:val="auto"/>
          <w:sz w:val="36"/>
          <w:szCs w:val="36"/>
          <w:highlight w:val="none"/>
        </w:rPr>
      </w:pPr>
      <w:r>
        <w:rPr>
          <w:rFonts w:hint="default" w:ascii="Times New Roman" w:hAnsi="Times New Roman" w:eastAsia="方正黑体简体" w:cs="Times New Roman"/>
          <w:color w:val="auto"/>
          <w:sz w:val="36"/>
          <w:szCs w:val="36"/>
          <w:highlight w:val="none"/>
        </w:rPr>
        <w:t>目  录</w:t>
      </w:r>
    </w:p>
    <w:p>
      <w:pPr>
        <w:pStyle w:val="19"/>
        <w:keepNext w:val="0"/>
        <w:keepLines w:val="0"/>
        <w:pageBreakBefore w:val="0"/>
        <w:tabs>
          <w:tab w:val="right" w:leader="dot" w:pos="8958"/>
        </w:tabs>
        <w:kinsoku/>
        <w:wordWrap/>
        <w:overflowPunct/>
        <w:topLinePunct w:val="0"/>
        <w:autoSpaceDE/>
        <w:autoSpaceDN/>
        <w:bidi w:val="0"/>
        <w:adjustRightInd/>
        <w:snapToGrid/>
        <w:spacing w:line="360" w:lineRule="exact"/>
        <w:textAlignment w:val="auto"/>
        <w:outlineLvl w:val="9"/>
        <w:rPr>
          <w:rFonts w:hint="default" w:ascii="Times New Roman" w:hAnsi="Times New Roman" w:cs="Times New Roman"/>
          <w:color w:val="auto"/>
          <w:highlight w:val="none"/>
        </w:rPr>
      </w:pPr>
      <w:r>
        <w:rPr>
          <w:rFonts w:hint="default" w:ascii="Times New Roman" w:hAnsi="Times New Roman" w:cs="Times New Roman"/>
          <w:b/>
          <w:bCs/>
          <w:color w:val="auto"/>
          <w:highlight w:val="none"/>
        </w:rPr>
        <w:fldChar w:fldCharType="begin"/>
      </w:r>
      <w:r>
        <w:rPr>
          <w:rFonts w:hint="default" w:ascii="Times New Roman" w:hAnsi="Times New Roman" w:cs="Times New Roman"/>
          <w:color w:val="auto"/>
          <w:highlight w:val="none"/>
        </w:rPr>
        <w:instrText xml:space="preserve"> HYPERLINK \l _Toc32644 </w:instrText>
      </w:r>
      <w:r>
        <w:rPr>
          <w:rFonts w:hint="default" w:ascii="Times New Roman" w:hAnsi="Times New Roman" w:cs="Times New Roman"/>
          <w:b/>
          <w:bCs/>
          <w:color w:val="auto"/>
          <w:highlight w:val="none"/>
        </w:rPr>
        <w:fldChar w:fldCharType="separate"/>
      </w:r>
      <w:r>
        <w:rPr>
          <w:rFonts w:hint="default" w:ascii="Times New Roman" w:hAnsi="Times New Roman" w:eastAsia="微软雅黑" w:cs="Times New Roman"/>
          <w:b/>
          <w:bCs/>
          <w:color w:val="auto"/>
          <w:highlight w:val="none"/>
        </w:rPr>
        <w:t>宿迁市202</w:t>
      </w:r>
      <w:r>
        <w:rPr>
          <w:rFonts w:hint="default" w:ascii="Times New Roman" w:hAnsi="Times New Roman" w:eastAsia="微软雅黑" w:cs="Times New Roman"/>
          <w:b/>
          <w:bCs/>
          <w:color w:val="auto"/>
          <w:highlight w:val="none"/>
          <w:lang w:val="en-US" w:eastAsia="zh-CN"/>
        </w:rPr>
        <w:t>5</w:t>
      </w:r>
      <w:r>
        <w:rPr>
          <w:rFonts w:hint="default" w:ascii="Times New Roman" w:hAnsi="Times New Roman" w:eastAsia="微软雅黑" w:cs="Times New Roman"/>
          <w:b/>
          <w:bCs/>
          <w:color w:val="auto"/>
          <w:highlight w:val="none"/>
        </w:rPr>
        <w:t>年电力负荷管理预案</w:t>
      </w:r>
      <w:r>
        <w:rPr>
          <w:rFonts w:hint="default" w:ascii="Times New Roman" w:hAnsi="Times New Roman" w:cs="Times New Roman"/>
          <w:b/>
          <w:bCs/>
          <w:color w:val="auto"/>
          <w:highlight w:val="none"/>
        </w:rPr>
        <w:tab/>
      </w:r>
      <w:r>
        <w:rPr>
          <w:rFonts w:hint="default" w:ascii="Times New Roman" w:hAnsi="Times New Roman" w:cs="Times New Roman"/>
          <w:b/>
          <w:bCs/>
          <w:color w:val="auto"/>
          <w:highlight w:val="none"/>
        </w:rPr>
        <w:t>1</w:t>
      </w:r>
      <w:r>
        <w:rPr>
          <w:rFonts w:hint="default" w:ascii="Times New Roman" w:hAnsi="Times New Roman" w:cs="Times New Roman"/>
          <w:b/>
          <w:bCs/>
          <w:color w:val="auto"/>
          <w:highlight w:val="none"/>
        </w:rPr>
        <w:fldChar w:fldCharType="end"/>
      </w:r>
    </w:p>
    <w:p>
      <w:pPr>
        <w:pStyle w:val="19"/>
        <w:keepNext w:val="0"/>
        <w:keepLines w:val="0"/>
        <w:pageBreakBefore w:val="0"/>
        <w:tabs>
          <w:tab w:val="right" w:leader="dot" w:pos="8958"/>
        </w:tabs>
        <w:kinsoku/>
        <w:wordWrap/>
        <w:overflowPunct/>
        <w:topLinePunct w:val="0"/>
        <w:autoSpaceDE/>
        <w:autoSpaceDN/>
        <w:bidi w:val="0"/>
        <w:adjustRightInd/>
        <w:snapToGrid/>
        <w:spacing w:line="360" w:lineRule="exact"/>
        <w:textAlignment w:val="auto"/>
        <w:outlineLvl w:val="9"/>
        <w:rPr>
          <w:rFonts w:hint="default" w:ascii="Times New Roman" w:hAnsi="Times New Roman" w:cs="Times New Roman"/>
          <w:color w:val="auto"/>
          <w:highlight w:val="none"/>
        </w:rPr>
      </w:pPr>
      <w:r>
        <w:rPr>
          <w:rFonts w:hint="default" w:ascii="Times New Roman" w:hAnsi="Times New Roman" w:cs="Times New Roman"/>
          <w:b/>
          <w:bCs/>
          <w:color w:val="auto"/>
          <w:highlight w:val="none"/>
        </w:rPr>
        <w:fldChar w:fldCharType="begin"/>
      </w:r>
      <w:r>
        <w:rPr>
          <w:rFonts w:hint="default" w:ascii="Times New Roman" w:hAnsi="Times New Roman" w:cs="Times New Roman"/>
          <w:color w:val="auto"/>
          <w:highlight w:val="none"/>
        </w:rPr>
        <w:instrText xml:space="preserve"> HYPERLINK \l _Toc26236 </w:instrText>
      </w:r>
      <w:r>
        <w:rPr>
          <w:rFonts w:hint="default" w:ascii="Times New Roman" w:hAnsi="Times New Roman" w:cs="Times New Roman"/>
          <w:b/>
          <w:bCs/>
          <w:color w:val="auto"/>
          <w:highlight w:val="none"/>
        </w:rPr>
        <w:fldChar w:fldCharType="separate"/>
      </w:r>
      <w:r>
        <w:rPr>
          <w:rFonts w:hint="default" w:ascii="Times New Roman" w:hAnsi="Times New Roman" w:eastAsia="方正黑体简体" w:cs="Times New Roman"/>
          <w:b/>
          <w:bCs/>
          <w:color w:val="auto"/>
          <w:highlight w:val="none"/>
        </w:rPr>
        <w:t>第一章  工作目标</w:t>
      </w:r>
      <w:r>
        <w:rPr>
          <w:rFonts w:hint="default" w:ascii="Times New Roman" w:hAnsi="Times New Roman" w:cs="Times New Roman"/>
          <w:b/>
          <w:bCs/>
          <w:color w:val="auto"/>
          <w:highlight w:val="none"/>
        </w:rPr>
        <w:tab/>
      </w:r>
      <w:r>
        <w:rPr>
          <w:rFonts w:hint="eastAsia" w:ascii="Times New Roman" w:hAnsi="Times New Roman" w:cs="Times New Roman"/>
          <w:b/>
          <w:bCs/>
          <w:color w:val="auto"/>
          <w:highlight w:val="none"/>
          <w:lang w:val="en-US" w:eastAsia="zh-CN"/>
        </w:rPr>
        <w:t>1</w:t>
      </w:r>
      <w:r>
        <w:rPr>
          <w:rFonts w:hint="default" w:ascii="Times New Roman" w:hAnsi="Times New Roman" w:cs="Times New Roman"/>
          <w:b/>
          <w:bCs/>
          <w:color w:val="auto"/>
          <w:highlight w:val="none"/>
        </w:rPr>
        <w:fldChar w:fldCharType="end"/>
      </w:r>
    </w:p>
    <w:p>
      <w:pPr>
        <w:pStyle w:val="20"/>
        <w:keepNext w:val="0"/>
        <w:keepLines w:val="0"/>
        <w:pageBreakBefore w:val="0"/>
        <w:tabs>
          <w:tab w:val="right" w:leader="dot" w:pos="8958"/>
        </w:tabs>
        <w:kinsoku/>
        <w:wordWrap/>
        <w:overflowPunct/>
        <w:topLinePunct w:val="0"/>
        <w:autoSpaceDE/>
        <w:autoSpaceDN/>
        <w:bidi w:val="0"/>
        <w:adjustRightInd/>
        <w:snapToGrid/>
        <w:spacing w:line="360" w:lineRule="exact"/>
        <w:ind w:left="560"/>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_Toc8216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1.1  编制目的</w:t>
      </w:r>
      <w:r>
        <w:rPr>
          <w:rFonts w:hint="default" w:ascii="Times New Roman" w:hAnsi="Times New Roman" w:cs="Times New Roman"/>
          <w:color w:val="auto"/>
          <w:highlight w:val="none"/>
        </w:rPr>
        <w:tab/>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fldChar w:fldCharType="end"/>
      </w:r>
    </w:p>
    <w:p>
      <w:pPr>
        <w:pStyle w:val="20"/>
        <w:keepNext w:val="0"/>
        <w:keepLines w:val="0"/>
        <w:pageBreakBefore w:val="0"/>
        <w:tabs>
          <w:tab w:val="right" w:leader="dot" w:pos="8958"/>
        </w:tabs>
        <w:kinsoku/>
        <w:wordWrap/>
        <w:overflowPunct/>
        <w:topLinePunct w:val="0"/>
        <w:autoSpaceDE/>
        <w:autoSpaceDN/>
        <w:bidi w:val="0"/>
        <w:adjustRightInd/>
        <w:snapToGrid/>
        <w:spacing w:line="360" w:lineRule="exact"/>
        <w:ind w:left="560"/>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_Toc873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1.2  适用范围</w:t>
      </w:r>
      <w:r>
        <w:rPr>
          <w:rFonts w:hint="default" w:ascii="Times New Roman" w:hAnsi="Times New Roman" w:cs="Times New Roman"/>
          <w:color w:val="auto"/>
          <w:highlight w:val="none"/>
        </w:rPr>
        <w:tab/>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fldChar w:fldCharType="end"/>
      </w:r>
    </w:p>
    <w:p>
      <w:pPr>
        <w:pStyle w:val="20"/>
        <w:keepNext w:val="0"/>
        <w:keepLines w:val="0"/>
        <w:pageBreakBefore w:val="0"/>
        <w:tabs>
          <w:tab w:val="right" w:leader="dot" w:pos="8958"/>
        </w:tabs>
        <w:kinsoku/>
        <w:wordWrap/>
        <w:overflowPunct/>
        <w:topLinePunct w:val="0"/>
        <w:autoSpaceDE/>
        <w:autoSpaceDN/>
        <w:bidi w:val="0"/>
        <w:adjustRightInd/>
        <w:snapToGrid/>
        <w:spacing w:line="360" w:lineRule="exact"/>
        <w:ind w:left="560"/>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_Toc22003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1.3  工作原则</w:t>
      </w:r>
      <w:r>
        <w:rPr>
          <w:rFonts w:hint="default" w:ascii="Times New Roman" w:hAnsi="Times New Roman" w:cs="Times New Roman"/>
          <w:color w:val="auto"/>
          <w:highlight w:val="none"/>
        </w:rPr>
        <w:tab/>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rPr>
        <w:fldChar w:fldCharType="end"/>
      </w:r>
    </w:p>
    <w:p>
      <w:pPr>
        <w:pStyle w:val="19"/>
        <w:keepNext w:val="0"/>
        <w:keepLines w:val="0"/>
        <w:pageBreakBefore w:val="0"/>
        <w:tabs>
          <w:tab w:val="right" w:leader="dot" w:pos="8958"/>
        </w:tabs>
        <w:kinsoku/>
        <w:wordWrap/>
        <w:overflowPunct/>
        <w:topLinePunct w:val="0"/>
        <w:autoSpaceDE/>
        <w:autoSpaceDN/>
        <w:bidi w:val="0"/>
        <w:adjustRightInd/>
        <w:snapToGrid/>
        <w:spacing w:line="360" w:lineRule="exact"/>
        <w:textAlignment w:val="auto"/>
        <w:outlineLvl w:val="9"/>
        <w:rPr>
          <w:rFonts w:hint="default" w:ascii="Times New Roman" w:hAnsi="Times New Roman" w:cs="Times New Roman"/>
          <w:color w:val="auto"/>
          <w:highlight w:val="none"/>
        </w:rPr>
      </w:pPr>
      <w:r>
        <w:rPr>
          <w:rFonts w:hint="default" w:ascii="Times New Roman" w:hAnsi="Times New Roman" w:cs="Times New Roman"/>
          <w:b/>
          <w:bCs/>
          <w:color w:val="auto"/>
          <w:highlight w:val="none"/>
        </w:rPr>
        <w:fldChar w:fldCharType="begin"/>
      </w:r>
      <w:r>
        <w:rPr>
          <w:rFonts w:hint="default" w:ascii="Times New Roman" w:hAnsi="Times New Roman" w:cs="Times New Roman"/>
          <w:color w:val="auto"/>
          <w:highlight w:val="none"/>
        </w:rPr>
        <w:instrText xml:space="preserve"> HYPERLINK \l _Toc8721 </w:instrText>
      </w:r>
      <w:r>
        <w:rPr>
          <w:rFonts w:hint="default" w:ascii="Times New Roman" w:hAnsi="Times New Roman" w:cs="Times New Roman"/>
          <w:b/>
          <w:bCs/>
          <w:color w:val="auto"/>
          <w:highlight w:val="none"/>
        </w:rPr>
        <w:fldChar w:fldCharType="separate"/>
      </w:r>
      <w:r>
        <w:rPr>
          <w:rFonts w:hint="default" w:ascii="Times New Roman" w:hAnsi="Times New Roman" w:eastAsia="方正黑体简体" w:cs="Times New Roman"/>
          <w:b/>
          <w:bCs/>
          <w:color w:val="auto"/>
          <w:highlight w:val="none"/>
        </w:rPr>
        <w:t>第二章  组织体系</w:t>
      </w:r>
      <w:r>
        <w:rPr>
          <w:rFonts w:hint="default" w:ascii="Times New Roman" w:hAnsi="Times New Roman" w:cs="Times New Roman"/>
          <w:b/>
          <w:bCs/>
          <w:color w:val="auto"/>
          <w:highlight w:val="none"/>
        </w:rPr>
        <w:tab/>
      </w:r>
      <w:r>
        <w:rPr>
          <w:rFonts w:hint="eastAsia" w:ascii="Times New Roman" w:hAnsi="Times New Roman" w:cs="Times New Roman"/>
          <w:b/>
          <w:bCs/>
          <w:color w:val="auto"/>
          <w:highlight w:val="none"/>
          <w:lang w:val="en-US" w:eastAsia="zh-CN"/>
        </w:rPr>
        <w:t>4</w:t>
      </w:r>
      <w:r>
        <w:rPr>
          <w:rFonts w:hint="default" w:ascii="Times New Roman" w:hAnsi="Times New Roman" w:cs="Times New Roman"/>
          <w:b/>
          <w:bCs/>
          <w:color w:val="auto"/>
          <w:highlight w:val="none"/>
        </w:rPr>
        <w:fldChar w:fldCharType="end"/>
      </w:r>
    </w:p>
    <w:p>
      <w:pPr>
        <w:pStyle w:val="20"/>
        <w:keepNext w:val="0"/>
        <w:keepLines w:val="0"/>
        <w:pageBreakBefore w:val="0"/>
        <w:tabs>
          <w:tab w:val="right" w:leader="dot" w:pos="8958"/>
        </w:tabs>
        <w:kinsoku/>
        <w:wordWrap/>
        <w:overflowPunct/>
        <w:topLinePunct w:val="0"/>
        <w:autoSpaceDE/>
        <w:autoSpaceDN/>
        <w:bidi w:val="0"/>
        <w:adjustRightInd/>
        <w:snapToGrid/>
        <w:spacing w:line="360" w:lineRule="exact"/>
        <w:ind w:left="560"/>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_Toc1785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2.1  工作机构</w:t>
      </w:r>
      <w:r>
        <w:rPr>
          <w:rFonts w:hint="default" w:ascii="Times New Roman" w:hAnsi="Times New Roman" w:cs="Times New Roman"/>
          <w:color w:val="auto"/>
          <w:highlight w:val="none"/>
        </w:rPr>
        <w:tab/>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rPr>
        <w:fldChar w:fldCharType="end"/>
      </w:r>
    </w:p>
    <w:p>
      <w:pPr>
        <w:pStyle w:val="20"/>
        <w:keepNext w:val="0"/>
        <w:keepLines w:val="0"/>
        <w:pageBreakBefore w:val="0"/>
        <w:tabs>
          <w:tab w:val="right" w:leader="dot" w:pos="8958"/>
        </w:tabs>
        <w:kinsoku/>
        <w:wordWrap/>
        <w:overflowPunct/>
        <w:topLinePunct w:val="0"/>
        <w:autoSpaceDE/>
        <w:autoSpaceDN/>
        <w:bidi w:val="0"/>
        <w:adjustRightInd/>
        <w:snapToGrid/>
        <w:spacing w:line="360" w:lineRule="exact"/>
        <w:ind w:left="560"/>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_Toc32558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2.2工作职责</w:t>
      </w:r>
      <w:r>
        <w:rPr>
          <w:rFonts w:hint="default" w:ascii="Times New Roman" w:hAnsi="Times New Roman" w:cs="Times New Roman"/>
          <w:color w:val="auto"/>
          <w:highlight w:val="none"/>
        </w:rPr>
        <w:tab/>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fldChar w:fldCharType="end"/>
      </w:r>
    </w:p>
    <w:p>
      <w:pPr>
        <w:pStyle w:val="20"/>
        <w:keepNext w:val="0"/>
        <w:keepLines w:val="0"/>
        <w:pageBreakBefore w:val="0"/>
        <w:tabs>
          <w:tab w:val="right" w:leader="dot" w:pos="8958"/>
        </w:tabs>
        <w:kinsoku/>
        <w:wordWrap/>
        <w:overflowPunct/>
        <w:topLinePunct w:val="0"/>
        <w:autoSpaceDE/>
        <w:autoSpaceDN/>
        <w:bidi w:val="0"/>
        <w:adjustRightInd/>
        <w:snapToGrid/>
        <w:spacing w:line="360" w:lineRule="exact"/>
        <w:ind w:left="560"/>
        <w:textAlignment w:val="auto"/>
        <w:outlineLvl w:val="9"/>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_Toc22967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2.3 联系网络</w:t>
      </w:r>
      <w:r>
        <w:rPr>
          <w:rFonts w:hint="default" w:ascii="Times New Roman" w:hAnsi="Times New Roman" w:cs="Times New Roman"/>
          <w:color w:val="auto"/>
          <w:highlight w:val="none"/>
        </w:rPr>
        <w:tab/>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fldChar w:fldCharType="end"/>
      </w:r>
      <w:r>
        <w:rPr>
          <w:rFonts w:hint="eastAsia" w:ascii="Times New Roman" w:hAnsi="Times New Roman" w:cs="Times New Roman"/>
          <w:color w:val="auto"/>
          <w:highlight w:val="none"/>
          <w:lang w:val="en-US" w:eastAsia="zh-CN"/>
        </w:rPr>
        <w:t>1</w:t>
      </w:r>
    </w:p>
    <w:p>
      <w:pPr>
        <w:pStyle w:val="19"/>
        <w:keepNext w:val="0"/>
        <w:keepLines w:val="0"/>
        <w:pageBreakBefore w:val="0"/>
        <w:tabs>
          <w:tab w:val="right" w:leader="dot" w:pos="8958"/>
        </w:tabs>
        <w:kinsoku/>
        <w:wordWrap/>
        <w:overflowPunct/>
        <w:topLinePunct w:val="0"/>
        <w:autoSpaceDE/>
        <w:autoSpaceDN/>
        <w:bidi w:val="0"/>
        <w:adjustRightInd/>
        <w:snapToGrid/>
        <w:spacing w:line="360" w:lineRule="exact"/>
        <w:textAlignment w:val="auto"/>
        <w:outlineLvl w:val="9"/>
        <w:rPr>
          <w:rFonts w:hint="default" w:ascii="Times New Roman" w:hAnsi="Times New Roman" w:eastAsia="宋体" w:cs="Times New Roman"/>
          <w:color w:val="auto"/>
          <w:highlight w:val="none"/>
          <w:lang w:val="en-US" w:eastAsia="zh-CN"/>
        </w:rPr>
      </w:pPr>
      <w:r>
        <w:rPr>
          <w:rFonts w:hint="default" w:ascii="Times New Roman" w:hAnsi="Times New Roman" w:cs="Times New Roman"/>
          <w:b/>
          <w:bCs/>
          <w:color w:val="auto"/>
          <w:highlight w:val="none"/>
        </w:rPr>
        <w:fldChar w:fldCharType="begin"/>
      </w:r>
      <w:r>
        <w:rPr>
          <w:rFonts w:hint="default" w:ascii="Times New Roman" w:hAnsi="Times New Roman" w:cs="Times New Roman"/>
          <w:color w:val="auto"/>
          <w:highlight w:val="none"/>
        </w:rPr>
        <w:instrText xml:space="preserve"> HYPERLINK \l _Toc6356 </w:instrText>
      </w:r>
      <w:r>
        <w:rPr>
          <w:rFonts w:hint="default" w:ascii="Times New Roman" w:hAnsi="Times New Roman" w:cs="Times New Roman"/>
          <w:b/>
          <w:bCs/>
          <w:color w:val="auto"/>
          <w:highlight w:val="none"/>
        </w:rPr>
        <w:fldChar w:fldCharType="separate"/>
      </w:r>
      <w:r>
        <w:rPr>
          <w:rFonts w:hint="default" w:ascii="Times New Roman" w:hAnsi="Times New Roman" w:eastAsia="方正黑体简体" w:cs="Times New Roman"/>
          <w:b/>
          <w:bCs/>
          <w:color w:val="auto"/>
          <w:highlight w:val="none"/>
        </w:rPr>
        <w:t>第三章  供用电形势分析</w:t>
      </w:r>
      <w:r>
        <w:rPr>
          <w:rFonts w:hint="default" w:ascii="Times New Roman" w:hAnsi="Times New Roman" w:cs="Times New Roman"/>
          <w:b/>
          <w:bCs/>
          <w:color w:val="auto"/>
          <w:highlight w:val="none"/>
        </w:rPr>
        <w:tab/>
      </w:r>
      <w:r>
        <w:rPr>
          <w:rFonts w:hint="default" w:ascii="Times New Roman" w:hAnsi="Times New Roman" w:cs="Times New Roman"/>
          <w:b/>
          <w:bCs/>
          <w:color w:val="auto"/>
          <w:highlight w:val="none"/>
          <w:lang w:val="en-US" w:eastAsia="zh-CN"/>
        </w:rPr>
        <w:t>1</w:t>
      </w:r>
      <w:r>
        <w:rPr>
          <w:rFonts w:hint="default" w:ascii="Times New Roman" w:hAnsi="Times New Roman" w:cs="Times New Roman"/>
          <w:b/>
          <w:bCs/>
          <w:color w:val="auto"/>
          <w:highlight w:val="none"/>
        </w:rPr>
        <w:fldChar w:fldCharType="end"/>
      </w:r>
      <w:r>
        <w:rPr>
          <w:rFonts w:hint="eastAsia" w:ascii="Times New Roman" w:hAnsi="Times New Roman" w:cs="Times New Roman"/>
          <w:b/>
          <w:bCs/>
          <w:color w:val="auto"/>
          <w:highlight w:val="none"/>
          <w:lang w:val="en-US" w:eastAsia="zh-CN"/>
        </w:rPr>
        <w:t>2</w:t>
      </w:r>
    </w:p>
    <w:p>
      <w:pPr>
        <w:pStyle w:val="20"/>
        <w:keepNext w:val="0"/>
        <w:keepLines w:val="0"/>
        <w:pageBreakBefore w:val="0"/>
        <w:tabs>
          <w:tab w:val="right" w:leader="dot" w:pos="8958"/>
        </w:tabs>
        <w:kinsoku/>
        <w:wordWrap/>
        <w:overflowPunct/>
        <w:topLinePunct w:val="0"/>
        <w:autoSpaceDE/>
        <w:autoSpaceDN/>
        <w:bidi w:val="0"/>
        <w:adjustRightInd/>
        <w:snapToGrid/>
        <w:spacing w:line="360" w:lineRule="exact"/>
        <w:ind w:left="560"/>
        <w:textAlignment w:val="auto"/>
        <w:outlineLvl w:val="9"/>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_Toc26311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3.1 202</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年宿迁用电情况分析</w:t>
      </w:r>
      <w:r>
        <w:rPr>
          <w:rFonts w:hint="default" w:ascii="Times New Roman" w:hAnsi="Times New Roman" w:cs="Times New Roman"/>
          <w:color w:val="auto"/>
          <w:highlight w:val="none"/>
        </w:rPr>
        <w:tab/>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fldChar w:fldCharType="end"/>
      </w:r>
      <w:r>
        <w:rPr>
          <w:rFonts w:hint="eastAsia" w:ascii="Times New Roman" w:hAnsi="Times New Roman" w:cs="Times New Roman"/>
          <w:color w:val="auto"/>
          <w:highlight w:val="none"/>
          <w:lang w:val="en-US" w:eastAsia="zh-CN"/>
        </w:rPr>
        <w:t>2</w:t>
      </w:r>
    </w:p>
    <w:p>
      <w:pPr>
        <w:pStyle w:val="20"/>
        <w:keepNext w:val="0"/>
        <w:keepLines w:val="0"/>
        <w:pageBreakBefore w:val="0"/>
        <w:tabs>
          <w:tab w:val="right" w:leader="dot" w:pos="8958"/>
        </w:tabs>
        <w:kinsoku/>
        <w:wordWrap/>
        <w:overflowPunct/>
        <w:topLinePunct w:val="0"/>
        <w:autoSpaceDE/>
        <w:autoSpaceDN/>
        <w:bidi w:val="0"/>
        <w:adjustRightInd/>
        <w:snapToGrid/>
        <w:spacing w:line="360" w:lineRule="exact"/>
        <w:ind w:left="560"/>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_Toc22107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3.2  202</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年全市电力供需分析</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t>1</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rPr>
        <w:fldChar w:fldCharType="end"/>
      </w:r>
    </w:p>
    <w:p>
      <w:pPr>
        <w:pStyle w:val="19"/>
        <w:keepNext w:val="0"/>
        <w:keepLines w:val="0"/>
        <w:pageBreakBefore w:val="0"/>
        <w:tabs>
          <w:tab w:val="right" w:leader="dot" w:pos="8958"/>
        </w:tabs>
        <w:kinsoku/>
        <w:wordWrap/>
        <w:overflowPunct/>
        <w:topLinePunct w:val="0"/>
        <w:autoSpaceDE/>
        <w:autoSpaceDN/>
        <w:bidi w:val="0"/>
        <w:adjustRightInd/>
        <w:snapToGrid/>
        <w:spacing w:line="360" w:lineRule="exact"/>
        <w:textAlignment w:val="auto"/>
        <w:outlineLvl w:val="9"/>
        <w:rPr>
          <w:rFonts w:hint="eastAsia" w:ascii="Times New Roman" w:hAnsi="Times New Roman" w:eastAsia="宋体" w:cs="Times New Roman"/>
          <w:color w:val="auto"/>
          <w:highlight w:val="none"/>
          <w:lang w:val="en-US" w:eastAsia="zh-CN"/>
        </w:rPr>
      </w:pPr>
      <w:r>
        <w:rPr>
          <w:rFonts w:hint="default" w:ascii="Times New Roman" w:hAnsi="Times New Roman" w:cs="Times New Roman"/>
          <w:b/>
          <w:bCs/>
          <w:color w:val="auto"/>
          <w:highlight w:val="none"/>
        </w:rPr>
        <w:fldChar w:fldCharType="begin"/>
      </w:r>
      <w:r>
        <w:rPr>
          <w:rFonts w:hint="default" w:ascii="Times New Roman" w:hAnsi="Times New Roman" w:cs="Times New Roman"/>
          <w:color w:val="auto"/>
          <w:highlight w:val="none"/>
        </w:rPr>
        <w:instrText xml:space="preserve"> HYPERLINK \l _Toc30256 </w:instrText>
      </w:r>
      <w:r>
        <w:rPr>
          <w:rFonts w:hint="default" w:ascii="Times New Roman" w:hAnsi="Times New Roman" w:cs="Times New Roman"/>
          <w:b/>
          <w:bCs/>
          <w:color w:val="auto"/>
          <w:highlight w:val="none"/>
        </w:rPr>
        <w:fldChar w:fldCharType="separate"/>
      </w:r>
      <w:r>
        <w:rPr>
          <w:rFonts w:hint="default" w:ascii="Times New Roman" w:hAnsi="Times New Roman" w:eastAsia="方正黑体简体" w:cs="Times New Roman"/>
          <w:b/>
          <w:bCs/>
          <w:color w:val="auto"/>
          <w:highlight w:val="none"/>
        </w:rPr>
        <w:t>第四章 负荷管理预案</w:t>
      </w:r>
      <w:r>
        <w:rPr>
          <w:rFonts w:hint="default" w:ascii="Times New Roman" w:hAnsi="Times New Roman" w:cs="Times New Roman"/>
          <w:b/>
          <w:bCs/>
          <w:color w:val="auto"/>
          <w:highlight w:val="none"/>
        </w:rPr>
        <w:tab/>
      </w:r>
      <w:r>
        <w:rPr>
          <w:rFonts w:hint="eastAsia" w:ascii="Times New Roman" w:hAnsi="Times New Roman" w:cs="Times New Roman"/>
          <w:b/>
          <w:bCs/>
          <w:color w:val="auto"/>
          <w:highlight w:val="none"/>
          <w:lang w:val="en-US" w:eastAsia="zh-CN"/>
        </w:rPr>
        <w:t>1</w:t>
      </w:r>
      <w:r>
        <w:rPr>
          <w:rFonts w:hint="default" w:ascii="Times New Roman" w:hAnsi="Times New Roman" w:cs="Times New Roman"/>
          <w:b/>
          <w:bCs/>
          <w:color w:val="auto"/>
          <w:highlight w:val="none"/>
        </w:rPr>
        <w:fldChar w:fldCharType="end"/>
      </w:r>
      <w:r>
        <w:rPr>
          <w:rFonts w:hint="eastAsia" w:ascii="Times New Roman" w:hAnsi="Times New Roman" w:cs="Times New Roman"/>
          <w:b/>
          <w:bCs/>
          <w:color w:val="auto"/>
          <w:highlight w:val="none"/>
          <w:lang w:val="en-US" w:eastAsia="zh-CN"/>
        </w:rPr>
        <w:t>9</w:t>
      </w:r>
    </w:p>
    <w:p>
      <w:pPr>
        <w:pStyle w:val="20"/>
        <w:keepNext w:val="0"/>
        <w:keepLines w:val="0"/>
        <w:pageBreakBefore w:val="0"/>
        <w:tabs>
          <w:tab w:val="right" w:leader="dot" w:pos="8958"/>
        </w:tabs>
        <w:kinsoku/>
        <w:wordWrap/>
        <w:overflowPunct/>
        <w:topLinePunct w:val="0"/>
        <w:autoSpaceDE/>
        <w:autoSpaceDN/>
        <w:bidi w:val="0"/>
        <w:adjustRightInd/>
        <w:snapToGrid/>
        <w:spacing w:line="360" w:lineRule="exact"/>
        <w:ind w:left="560"/>
        <w:textAlignment w:val="auto"/>
        <w:outlineLvl w:val="9"/>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_Toc21266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4.1  方案总述</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end"/>
      </w:r>
      <w:r>
        <w:rPr>
          <w:rFonts w:hint="eastAsia" w:ascii="Times New Roman" w:hAnsi="Times New Roman" w:cs="Times New Roman"/>
          <w:color w:val="auto"/>
          <w:highlight w:val="none"/>
          <w:lang w:val="en-US" w:eastAsia="zh-CN"/>
        </w:rPr>
        <w:t>19</w:t>
      </w:r>
    </w:p>
    <w:p>
      <w:pPr>
        <w:pStyle w:val="20"/>
        <w:keepNext w:val="0"/>
        <w:keepLines w:val="0"/>
        <w:pageBreakBefore w:val="0"/>
        <w:tabs>
          <w:tab w:val="right" w:leader="dot" w:pos="8958"/>
        </w:tabs>
        <w:kinsoku/>
        <w:wordWrap/>
        <w:overflowPunct/>
        <w:topLinePunct w:val="0"/>
        <w:autoSpaceDE/>
        <w:autoSpaceDN/>
        <w:bidi w:val="0"/>
        <w:adjustRightInd/>
        <w:snapToGrid/>
        <w:spacing w:line="360" w:lineRule="exact"/>
        <w:ind w:left="560"/>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_Toc26619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4.2  主体方案概述</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t>2</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fldChar w:fldCharType="end"/>
      </w:r>
    </w:p>
    <w:p>
      <w:pPr>
        <w:pStyle w:val="20"/>
        <w:keepNext w:val="0"/>
        <w:keepLines w:val="0"/>
        <w:pageBreakBefore w:val="0"/>
        <w:tabs>
          <w:tab w:val="right" w:leader="dot" w:pos="8958"/>
        </w:tabs>
        <w:kinsoku/>
        <w:wordWrap/>
        <w:overflowPunct/>
        <w:topLinePunct w:val="0"/>
        <w:autoSpaceDE/>
        <w:autoSpaceDN/>
        <w:bidi w:val="0"/>
        <w:adjustRightInd/>
        <w:snapToGrid/>
        <w:spacing w:line="360" w:lineRule="exact"/>
        <w:ind w:left="560"/>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_Toc17539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4.3  分区综合施策</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t>4</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rPr>
        <w:fldChar w:fldCharType="end"/>
      </w:r>
    </w:p>
    <w:p>
      <w:pPr>
        <w:pStyle w:val="19"/>
        <w:keepNext w:val="0"/>
        <w:keepLines w:val="0"/>
        <w:pageBreakBefore w:val="0"/>
        <w:tabs>
          <w:tab w:val="right" w:leader="dot" w:pos="8958"/>
        </w:tabs>
        <w:kinsoku/>
        <w:wordWrap/>
        <w:overflowPunct/>
        <w:topLinePunct w:val="0"/>
        <w:autoSpaceDE/>
        <w:autoSpaceDN/>
        <w:bidi w:val="0"/>
        <w:adjustRightInd/>
        <w:snapToGrid/>
        <w:spacing w:line="360" w:lineRule="exact"/>
        <w:textAlignment w:val="auto"/>
        <w:outlineLvl w:val="9"/>
        <w:rPr>
          <w:rFonts w:hint="default" w:ascii="Times New Roman" w:hAnsi="Times New Roman" w:cs="Times New Roman"/>
          <w:color w:val="auto"/>
          <w:highlight w:val="none"/>
        </w:rPr>
      </w:pPr>
      <w:r>
        <w:rPr>
          <w:rFonts w:hint="default" w:ascii="Times New Roman" w:hAnsi="Times New Roman" w:cs="Times New Roman"/>
          <w:b/>
          <w:bCs/>
          <w:color w:val="auto"/>
          <w:highlight w:val="none"/>
        </w:rPr>
        <w:fldChar w:fldCharType="begin"/>
      </w:r>
      <w:r>
        <w:rPr>
          <w:rFonts w:hint="default" w:ascii="Times New Roman" w:hAnsi="Times New Roman" w:cs="Times New Roman"/>
          <w:color w:val="auto"/>
          <w:highlight w:val="none"/>
        </w:rPr>
        <w:instrText xml:space="preserve"> HYPERLINK \l _Toc17234 </w:instrText>
      </w:r>
      <w:r>
        <w:rPr>
          <w:rFonts w:hint="default" w:ascii="Times New Roman" w:hAnsi="Times New Roman" w:cs="Times New Roman"/>
          <w:b/>
          <w:bCs/>
          <w:color w:val="auto"/>
          <w:highlight w:val="none"/>
        </w:rPr>
        <w:fldChar w:fldCharType="separate"/>
      </w:r>
      <w:r>
        <w:rPr>
          <w:rFonts w:hint="default" w:ascii="Times New Roman" w:hAnsi="Times New Roman" w:eastAsia="方正黑体简体" w:cs="Times New Roman"/>
          <w:b/>
          <w:bCs/>
          <w:color w:val="auto"/>
          <w:highlight w:val="none"/>
        </w:rPr>
        <w:t>第五章  预案执行</w:t>
      </w:r>
      <w:r>
        <w:rPr>
          <w:rFonts w:hint="default" w:ascii="Times New Roman" w:hAnsi="Times New Roman" w:cs="Times New Roman"/>
          <w:b/>
          <w:bCs/>
          <w:color w:val="auto"/>
          <w:highlight w:val="none"/>
        </w:rPr>
        <w:tab/>
      </w:r>
      <w:r>
        <w:rPr>
          <w:rFonts w:hint="default" w:ascii="Times New Roman" w:hAnsi="Times New Roman" w:cs="Times New Roman"/>
          <w:b/>
          <w:bCs/>
          <w:color w:val="auto"/>
          <w:highlight w:val="none"/>
          <w:lang w:val="en-US" w:eastAsia="zh-CN"/>
        </w:rPr>
        <w:t>5</w:t>
      </w:r>
      <w:r>
        <w:rPr>
          <w:rFonts w:hint="eastAsia" w:ascii="Times New Roman" w:hAnsi="Times New Roman" w:cs="Times New Roman"/>
          <w:b/>
          <w:bCs/>
          <w:color w:val="auto"/>
          <w:highlight w:val="none"/>
          <w:lang w:val="en-US" w:eastAsia="zh-CN"/>
        </w:rPr>
        <w:t>1</w:t>
      </w:r>
      <w:r>
        <w:rPr>
          <w:rFonts w:hint="default" w:ascii="Times New Roman" w:hAnsi="Times New Roman" w:cs="Times New Roman"/>
          <w:b/>
          <w:bCs/>
          <w:color w:val="auto"/>
          <w:highlight w:val="none"/>
        </w:rPr>
        <w:fldChar w:fldCharType="end"/>
      </w:r>
    </w:p>
    <w:p>
      <w:pPr>
        <w:pStyle w:val="20"/>
        <w:keepNext w:val="0"/>
        <w:keepLines w:val="0"/>
        <w:pageBreakBefore w:val="0"/>
        <w:tabs>
          <w:tab w:val="right" w:leader="dot" w:pos="8958"/>
        </w:tabs>
        <w:kinsoku/>
        <w:wordWrap/>
        <w:overflowPunct/>
        <w:topLinePunct w:val="0"/>
        <w:autoSpaceDE/>
        <w:autoSpaceDN/>
        <w:bidi w:val="0"/>
        <w:adjustRightInd/>
        <w:snapToGrid/>
        <w:spacing w:line="360" w:lineRule="exact"/>
        <w:ind w:left="560"/>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_Toc5927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5.1  方案启动原则</w:t>
      </w:r>
      <w:r>
        <w:rPr>
          <w:rFonts w:hint="default" w:ascii="Times New Roman" w:hAnsi="Times New Roman" w:cs="Times New Roman"/>
          <w:color w:val="auto"/>
          <w:highlight w:val="none"/>
        </w:rPr>
        <w:tab/>
      </w:r>
      <w:r>
        <w:rPr>
          <w:rFonts w:hint="default" w:ascii="Times New Roman" w:hAnsi="Times New Roman" w:cs="Times New Roman"/>
          <w:color w:val="auto"/>
          <w:highlight w:val="none"/>
          <w:lang w:val="en-US" w:eastAsia="zh-CN"/>
        </w:rPr>
        <w:t>5</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fldChar w:fldCharType="end"/>
      </w:r>
    </w:p>
    <w:p>
      <w:pPr>
        <w:pStyle w:val="20"/>
        <w:keepNext w:val="0"/>
        <w:keepLines w:val="0"/>
        <w:pageBreakBefore w:val="0"/>
        <w:tabs>
          <w:tab w:val="right" w:leader="dot" w:pos="8958"/>
        </w:tabs>
        <w:kinsoku/>
        <w:wordWrap/>
        <w:overflowPunct/>
        <w:topLinePunct w:val="0"/>
        <w:autoSpaceDE/>
        <w:autoSpaceDN/>
        <w:bidi w:val="0"/>
        <w:adjustRightInd/>
        <w:snapToGrid/>
        <w:spacing w:line="360" w:lineRule="exact"/>
        <w:ind w:left="560"/>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_Toc17040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5.2  负荷分级预警调控情况</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t>5</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fldChar w:fldCharType="end"/>
      </w:r>
    </w:p>
    <w:p>
      <w:pPr>
        <w:pStyle w:val="20"/>
        <w:keepNext w:val="0"/>
        <w:keepLines w:val="0"/>
        <w:pageBreakBefore w:val="0"/>
        <w:tabs>
          <w:tab w:val="right" w:leader="dot" w:pos="8958"/>
        </w:tabs>
        <w:kinsoku/>
        <w:wordWrap/>
        <w:overflowPunct/>
        <w:topLinePunct w:val="0"/>
        <w:autoSpaceDE/>
        <w:autoSpaceDN/>
        <w:bidi w:val="0"/>
        <w:adjustRightInd/>
        <w:snapToGrid/>
        <w:spacing w:line="360" w:lineRule="exact"/>
        <w:ind w:left="560"/>
        <w:textAlignment w:val="auto"/>
        <w:outlineLvl w:val="9"/>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_Toc17543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5.3  其他节电措施</w:t>
      </w:r>
      <w:r>
        <w:rPr>
          <w:rFonts w:hint="default" w:ascii="Times New Roman" w:hAnsi="Times New Roman" w:cs="Times New Roman"/>
          <w:color w:val="auto"/>
          <w:highlight w:val="none"/>
        </w:rPr>
        <w:tab/>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rPr>
        <w:fldChar w:fldCharType="end"/>
      </w:r>
      <w:r>
        <w:rPr>
          <w:rFonts w:hint="eastAsia" w:ascii="Times New Roman" w:hAnsi="Times New Roman" w:cs="Times New Roman"/>
          <w:color w:val="auto"/>
          <w:highlight w:val="none"/>
          <w:lang w:val="en-US" w:eastAsia="zh-CN"/>
        </w:rPr>
        <w:t>6</w:t>
      </w:r>
    </w:p>
    <w:p>
      <w:pPr>
        <w:pStyle w:val="20"/>
        <w:keepNext w:val="0"/>
        <w:keepLines w:val="0"/>
        <w:pageBreakBefore w:val="0"/>
        <w:tabs>
          <w:tab w:val="right" w:leader="dot" w:pos="8958"/>
        </w:tabs>
        <w:kinsoku/>
        <w:wordWrap/>
        <w:overflowPunct/>
        <w:topLinePunct w:val="0"/>
        <w:autoSpaceDE/>
        <w:autoSpaceDN/>
        <w:bidi w:val="0"/>
        <w:adjustRightInd/>
        <w:snapToGrid/>
        <w:spacing w:line="360" w:lineRule="exact"/>
        <w:ind w:left="560"/>
        <w:textAlignment w:val="auto"/>
        <w:outlineLvl w:val="9"/>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_Toc1848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5.</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 xml:space="preserve">  方案执行</w:t>
      </w:r>
      <w:r>
        <w:rPr>
          <w:rFonts w:hint="default" w:ascii="Times New Roman" w:hAnsi="Times New Roman" w:cs="Times New Roman"/>
          <w:color w:val="auto"/>
          <w:highlight w:val="none"/>
        </w:rPr>
        <w:tab/>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rPr>
        <w:fldChar w:fldCharType="end"/>
      </w:r>
      <w:r>
        <w:rPr>
          <w:rFonts w:hint="eastAsia" w:ascii="Times New Roman" w:hAnsi="Times New Roman" w:cs="Times New Roman"/>
          <w:color w:val="auto"/>
          <w:highlight w:val="none"/>
          <w:lang w:val="en-US" w:eastAsia="zh-CN"/>
        </w:rPr>
        <w:t>6</w:t>
      </w:r>
    </w:p>
    <w:p>
      <w:pPr>
        <w:pStyle w:val="19"/>
        <w:keepNext w:val="0"/>
        <w:keepLines w:val="0"/>
        <w:pageBreakBefore w:val="0"/>
        <w:tabs>
          <w:tab w:val="right" w:leader="dot" w:pos="8958"/>
        </w:tabs>
        <w:kinsoku/>
        <w:wordWrap/>
        <w:overflowPunct/>
        <w:topLinePunct w:val="0"/>
        <w:autoSpaceDE/>
        <w:autoSpaceDN/>
        <w:bidi w:val="0"/>
        <w:adjustRightInd/>
        <w:snapToGrid/>
        <w:spacing w:line="360" w:lineRule="exact"/>
        <w:textAlignment w:val="auto"/>
        <w:outlineLvl w:val="9"/>
        <w:rPr>
          <w:rFonts w:hint="default" w:ascii="Times New Roman" w:hAnsi="Times New Roman" w:cs="Times New Roman"/>
          <w:color w:val="auto"/>
          <w:highlight w:val="none"/>
        </w:rPr>
      </w:pPr>
      <w:r>
        <w:rPr>
          <w:rFonts w:hint="default" w:ascii="Times New Roman" w:hAnsi="Times New Roman" w:cs="Times New Roman"/>
          <w:b/>
          <w:bCs/>
          <w:color w:val="auto"/>
          <w:highlight w:val="none"/>
        </w:rPr>
        <w:fldChar w:fldCharType="begin"/>
      </w:r>
      <w:r>
        <w:rPr>
          <w:rFonts w:hint="default" w:ascii="Times New Roman" w:hAnsi="Times New Roman" w:cs="Times New Roman"/>
          <w:color w:val="auto"/>
          <w:highlight w:val="none"/>
        </w:rPr>
        <w:instrText xml:space="preserve"> HYPERLINK \l _Toc9687 </w:instrText>
      </w:r>
      <w:r>
        <w:rPr>
          <w:rFonts w:hint="default" w:ascii="Times New Roman" w:hAnsi="Times New Roman" w:cs="Times New Roman"/>
          <w:b/>
          <w:bCs/>
          <w:color w:val="auto"/>
          <w:highlight w:val="none"/>
        </w:rPr>
        <w:fldChar w:fldCharType="separate"/>
      </w:r>
      <w:r>
        <w:rPr>
          <w:rFonts w:hint="default" w:ascii="Times New Roman" w:hAnsi="Times New Roman" w:eastAsia="方正黑体简体" w:cs="Times New Roman"/>
          <w:b/>
          <w:bCs/>
          <w:color w:val="auto"/>
          <w:highlight w:val="none"/>
        </w:rPr>
        <w:t>第六章  保障措施</w:t>
      </w:r>
      <w:r>
        <w:rPr>
          <w:rFonts w:hint="default" w:ascii="Times New Roman" w:hAnsi="Times New Roman" w:cs="Times New Roman"/>
          <w:b/>
          <w:bCs/>
          <w:color w:val="auto"/>
          <w:highlight w:val="none"/>
        </w:rPr>
        <w:tab/>
      </w:r>
      <w:r>
        <w:rPr>
          <w:rFonts w:hint="default" w:ascii="Times New Roman" w:hAnsi="Times New Roman" w:cs="Times New Roman"/>
          <w:b/>
          <w:bCs/>
          <w:color w:val="auto"/>
          <w:highlight w:val="none"/>
        </w:rPr>
        <w:t>6</w:t>
      </w:r>
      <w:r>
        <w:rPr>
          <w:rFonts w:hint="eastAsia" w:ascii="Times New Roman" w:hAnsi="Times New Roman" w:cs="Times New Roman"/>
          <w:b/>
          <w:bCs/>
          <w:color w:val="auto"/>
          <w:highlight w:val="none"/>
          <w:lang w:val="en-US" w:eastAsia="zh-CN"/>
        </w:rPr>
        <w:t>3</w:t>
      </w:r>
      <w:r>
        <w:rPr>
          <w:rFonts w:hint="default" w:ascii="Times New Roman" w:hAnsi="Times New Roman" w:cs="Times New Roman"/>
          <w:b/>
          <w:bCs/>
          <w:color w:val="auto"/>
          <w:highlight w:val="none"/>
        </w:rPr>
        <w:fldChar w:fldCharType="end"/>
      </w:r>
    </w:p>
    <w:p>
      <w:pPr>
        <w:pStyle w:val="20"/>
        <w:keepNext w:val="0"/>
        <w:keepLines w:val="0"/>
        <w:pageBreakBefore w:val="0"/>
        <w:tabs>
          <w:tab w:val="right" w:leader="dot" w:pos="8958"/>
        </w:tabs>
        <w:kinsoku/>
        <w:wordWrap/>
        <w:overflowPunct/>
        <w:topLinePunct w:val="0"/>
        <w:autoSpaceDE/>
        <w:autoSpaceDN/>
        <w:bidi w:val="0"/>
        <w:adjustRightInd/>
        <w:snapToGrid/>
        <w:spacing w:line="360" w:lineRule="exact"/>
        <w:ind w:left="560"/>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_Toc5273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6.1  组织保障</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t>6</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rPr>
        <w:fldChar w:fldCharType="end"/>
      </w:r>
    </w:p>
    <w:p>
      <w:pPr>
        <w:pStyle w:val="20"/>
        <w:keepNext w:val="0"/>
        <w:keepLines w:val="0"/>
        <w:pageBreakBefore w:val="0"/>
        <w:tabs>
          <w:tab w:val="right" w:leader="dot" w:pos="8958"/>
        </w:tabs>
        <w:kinsoku/>
        <w:wordWrap/>
        <w:overflowPunct/>
        <w:topLinePunct w:val="0"/>
        <w:autoSpaceDE/>
        <w:autoSpaceDN/>
        <w:bidi w:val="0"/>
        <w:adjustRightInd/>
        <w:snapToGrid/>
        <w:spacing w:line="360" w:lineRule="exact"/>
        <w:ind w:left="560"/>
        <w:textAlignment w:val="auto"/>
        <w:outlineLvl w:val="9"/>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_Toc11362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6.2  技术保障</w:t>
      </w:r>
      <w:r>
        <w:rPr>
          <w:rFonts w:hint="default" w:ascii="Times New Roman" w:hAnsi="Times New Roman" w:cs="Times New Roman"/>
          <w:color w:val="auto"/>
          <w:highlight w:val="none"/>
        </w:rPr>
        <w:tab/>
      </w:r>
      <w:r>
        <w:rPr>
          <w:rFonts w:hint="eastAsia" w:ascii="Times New Roman" w:hAnsi="Times New Roman" w:cs="Times New Roman"/>
          <w:color w:val="auto"/>
          <w:highlight w:val="none"/>
          <w:lang w:val="en-US" w:eastAsia="zh-CN"/>
        </w:rPr>
        <w:t>6</w:t>
      </w:r>
      <w:r>
        <w:rPr>
          <w:rFonts w:hint="default" w:ascii="Times New Roman" w:hAnsi="Times New Roman" w:cs="Times New Roman"/>
          <w:color w:val="auto"/>
          <w:highlight w:val="none"/>
        </w:rPr>
        <w:fldChar w:fldCharType="end"/>
      </w:r>
      <w:r>
        <w:rPr>
          <w:rFonts w:hint="eastAsia" w:ascii="Times New Roman" w:hAnsi="Times New Roman" w:cs="Times New Roman"/>
          <w:color w:val="auto"/>
          <w:highlight w:val="none"/>
          <w:lang w:val="en-US" w:eastAsia="zh-CN"/>
        </w:rPr>
        <w:t>5</w:t>
      </w:r>
    </w:p>
    <w:p>
      <w:pPr>
        <w:pStyle w:val="20"/>
        <w:keepNext w:val="0"/>
        <w:keepLines w:val="0"/>
        <w:pageBreakBefore w:val="0"/>
        <w:tabs>
          <w:tab w:val="right" w:leader="dot" w:pos="8958"/>
        </w:tabs>
        <w:kinsoku/>
        <w:wordWrap/>
        <w:overflowPunct/>
        <w:topLinePunct w:val="0"/>
        <w:autoSpaceDE/>
        <w:autoSpaceDN/>
        <w:bidi w:val="0"/>
        <w:adjustRightInd/>
        <w:snapToGrid/>
        <w:spacing w:line="360" w:lineRule="exact"/>
        <w:ind w:left="560"/>
        <w:textAlignment w:val="auto"/>
        <w:outlineLvl w:val="9"/>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_Toc11530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6.3  服务保障</w:t>
      </w:r>
      <w:r>
        <w:rPr>
          <w:rFonts w:hint="default" w:ascii="Times New Roman" w:hAnsi="Times New Roman" w:cs="Times New Roman"/>
          <w:color w:val="auto"/>
          <w:highlight w:val="none"/>
        </w:rPr>
        <w:tab/>
      </w:r>
      <w:r>
        <w:rPr>
          <w:rFonts w:hint="eastAsia" w:ascii="Times New Roman" w:hAnsi="Times New Roman" w:cs="Times New Roman"/>
          <w:color w:val="auto"/>
          <w:highlight w:val="none"/>
          <w:lang w:val="en-US" w:eastAsia="zh-CN"/>
        </w:rPr>
        <w:t>6</w:t>
      </w:r>
      <w:r>
        <w:rPr>
          <w:rFonts w:hint="default" w:ascii="Times New Roman" w:hAnsi="Times New Roman" w:cs="Times New Roman"/>
          <w:color w:val="auto"/>
          <w:highlight w:val="none"/>
        </w:rPr>
        <w:fldChar w:fldCharType="end"/>
      </w:r>
      <w:r>
        <w:rPr>
          <w:rFonts w:hint="eastAsia" w:ascii="Times New Roman" w:hAnsi="Times New Roman" w:cs="Times New Roman"/>
          <w:color w:val="auto"/>
          <w:highlight w:val="none"/>
          <w:lang w:val="en-US" w:eastAsia="zh-CN"/>
        </w:rPr>
        <w:t>5</w:t>
      </w:r>
    </w:p>
    <w:p>
      <w:pPr>
        <w:pStyle w:val="20"/>
        <w:keepNext w:val="0"/>
        <w:keepLines w:val="0"/>
        <w:pageBreakBefore w:val="0"/>
        <w:tabs>
          <w:tab w:val="right" w:leader="dot" w:pos="8958"/>
        </w:tabs>
        <w:kinsoku/>
        <w:wordWrap/>
        <w:overflowPunct/>
        <w:topLinePunct w:val="0"/>
        <w:autoSpaceDE/>
        <w:autoSpaceDN/>
        <w:bidi w:val="0"/>
        <w:adjustRightInd/>
        <w:snapToGrid/>
        <w:spacing w:line="360" w:lineRule="exact"/>
        <w:ind w:left="560"/>
        <w:textAlignment w:val="auto"/>
        <w:outlineLvl w:val="9"/>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_Toc13946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6.4  督察方案</w:t>
      </w:r>
      <w:r>
        <w:rPr>
          <w:rFonts w:hint="default" w:ascii="Times New Roman" w:hAnsi="Times New Roman" w:cs="Times New Roman"/>
          <w:color w:val="auto"/>
          <w:highlight w:val="none"/>
        </w:rPr>
        <w:tab/>
      </w:r>
      <w:r>
        <w:rPr>
          <w:rFonts w:hint="eastAsia" w:ascii="Times New Roman" w:hAnsi="Times New Roman" w:cs="Times New Roman"/>
          <w:color w:val="auto"/>
          <w:highlight w:val="none"/>
          <w:lang w:val="en-US" w:eastAsia="zh-CN"/>
        </w:rPr>
        <w:t>6</w:t>
      </w:r>
      <w:r>
        <w:rPr>
          <w:rFonts w:hint="default" w:ascii="Times New Roman" w:hAnsi="Times New Roman" w:cs="Times New Roman"/>
          <w:color w:val="auto"/>
          <w:highlight w:val="none"/>
        </w:rPr>
        <w:fldChar w:fldCharType="end"/>
      </w:r>
      <w:r>
        <w:rPr>
          <w:rFonts w:hint="eastAsia" w:ascii="Times New Roman" w:hAnsi="Times New Roman" w:cs="Times New Roman"/>
          <w:color w:val="auto"/>
          <w:highlight w:val="none"/>
          <w:lang w:val="en-US" w:eastAsia="zh-CN"/>
        </w:rPr>
        <w:t>8</w:t>
      </w:r>
    </w:p>
    <w:p>
      <w:pPr>
        <w:pStyle w:val="19"/>
        <w:keepNext w:val="0"/>
        <w:keepLines w:val="0"/>
        <w:pageBreakBefore w:val="0"/>
        <w:tabs>
          <w:tab w:val="right" w:leader="dot" w:pos="8958"/>
        </w:tabs>
        <w:kinsoku/>
        <w:wordWrap/>
        <w:overflowPunct/>
        <w:topLinePunct w:val="0"/>
        <w:autoSpaceDE/>
        <w:autoSpaceDN/>
        <w:bidi w:val="0"/>
        <w:adjustRightInd/>
        <w:snapToGrid/>
        <w:spacing w:line="360" w:lineRule="exact"/>
        <w:textAlignment w:val="auto"/>
        <w:outlineLvl w:val="9"/>
        <w:rPr>
          <w:rFonts w:hint="default" w:ascii="Times New Roman" w:hAnsi="Times New Roman" w:eastAsia="宋体" w:cs="Times New Roman"/>
          <w:color w:val="auto"/>
          <w:highlight w:val="none"/>
          <w:lang w:val="en-US" w:eastAsia="zh-CN"/>
        </w:rPr>
      </w:pPr>
      <w:r>
        <w:rPr>
          <w:rFonts w:hint="default" w:ascii="Times New Roman" w:hAnsi="Times New Roman" w:cs="Times New Roman"/>
          <w:b/>
          <w:bCs/>
          <w:color w:val="auto"/>
          <w:highlight w:val="none"/>
        </w:rPr>
        <w:fldChar w:fldCharType="begin"/>
      </w:r>
      <w:r>
        <w:rPr>
          <w:rFonts w:hint="default" w:ascii="Times New Roman" w:hAnsi="Times New Roman" w:cs="Times New Roman"/>
          <w:color w:val="auto"/>
          <w:highlight w:val="none"/>
        </w:rPr>
        <w:instrText xml:space="preserve"> HYPERLINK \l _Toc3485 </w:instrText>
      </w:r>
      <w:r>
        <w:rPr>
          <w:rFonts w:hint="default" w:ascii="Times New Roman" w:hAnsi="Times New Roman" w:cs="Times New Roman"/>
          <w:b/>
          <w:bCs/>
          <w:color w:val="auto"/>
          <w:highlight w:val="none"/>
        </w:rPr>
        <w:fldChar w:fldCharType="separate"/>
      </w:r>
      <w:r>
        <w:rPr>
          <w:rFonts w:hint="default" w:ascii="Times New Roman" w:hAnsi="Times New Roman" w:eastAsia="方正黑体简体" w:cs="Times New Roman"/>
          <w:b/>
          <w:bCs/>
          <w:color w:val="auto"/>
          <w:highlight w:val="none"/>
        </w:rPr>
        <w:t>第七章  宣传和告知</w:t>
      </w:r>
      <w:r>
        <w:rPr>
          <w:rFonts w:hint="default" w:ascii="Times New Roman" w:hAnsi="Times New Roman" w:cs="Times New Roman"/>
          <w:b/>
          <w:bCs/>
          <w:color w:val="auto"/>
          <w:highlight w:val="none"/>
        </w:rPr>
        <w:tab/>
      </w:r>
      <w:r>
        <w:rPr>
          <w:rFonts w:hint="eastAsia" w:ascii="Times New Roman" w:hAnsi="Times New Roman" w:cs="Times New Roman"/>
          <w:b/>
          <w:bCs/>
          <w:color w:val="auto"/>
          <w:highlight w:val="none"/>
          <w:lang w:val="en-US" w:eastAsia="zh-CN"/>
        </w:rPr>
        <w:t>7</w:t>
      </w:r>
      <w:r>
        <w:rPr>
          <w:rFonts w:hint="default" w:ascii="Times New Roman" w:hAnsi="Times New Roman" w:cs="Times New Roman"/>
          <w:b/>
          <w:bCs/>
          <w:color w:val="auto"/>
          <w:highlight w:val="none"/>
        </w:rPr>
        <w:fldChar w:fldCharType="end"/>
      </w:r>
      <w:r>
        <w:rPr>
          <w:rFonts w:hint="eastAsia" w:ascii="Times New Roman" w:hAnsi="Times New Roman" w:cs="Times New Roman"/>
          <w:b/>
          <w:bCs/>
          <w:color w:val="auto"/>
          <w:highlight w:val="none"/>
          <w:lang w:val="en-US" w:eastAsia="zh-CN"/>
        </w:rPr>
        <w:t>3</w:t>
      </w:r>
    </w:p>
    <w:p>
      <w:pPr>
        <w:pStyle w:val="20"/>
        <w:keepNext w:val="0"/>
        <w:keepLines w:val="0"/>
        <w:pageBreakBefore w:val="0"/>
        <w:tabs>
          <w:tab w:val="right" w:leader="dot" w:pos="8958"/>
        </w:tabs>
        <w:kinsoku/>
        <w:wordWrap/>
        <w:overflowPunct/>
        <w:topLinePunct w:val="0"/>
        <w:autoSpaceDE/>
        <w:autoSpaceDN/>
        <w:bidi w:val="0"/>
        <w:adjustRightInd/>
        <w:snapToGrid/>
        <w:spacing w:line="360" w:lineRule="exact"/>
        <w:ind w:left="560"/>
        <w:textAlignment w:val="auto"/>
        <w:outlineLvl w:val="9"/>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_Toc11467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7.1  宣传目的</w:t>
      </w:r>
      <w:r>
        <w:rPr>
          <w:rFonts w:hint="default" w:ascii="Times New Roman" w:hAnsi="Times New Roman" w:cs="Times New Roman"/>
          <w:color w:val="auto"/>
          <w:highlight w:val="none"/>
        </w:rPr>
        <w:tab/>
      </w:r>
      <w:r>
        <w:rPr>
          <w:rFonts w:hint="eastAsia" w:ascii="Times New Roman" w:hAnsi="Times New Roman" w:cs="Times New Roman"/>
          <w:color w:val="auto"/>
          <w:highlight w:val="none"/>
          <w:lang w:val="en-US" w:eastAsia="zh-CN"/>
        </w:rPr>
        <w:t>7</w:t>
      </w:r>
      <w:r>
        <w:rPr>
          <w:rFonts w:hint="default" w:ascii="Times New Roman" w:hAnsi="Times New Roman" w:cs="Times New Roman"/>
          <w:color w:val="auto"/>
          <w:highlight w:val="none"/>
        </w:rPr>
        <w:fldChar w:fldCharType="end"/>
      </w:r>
      <w:r>
        <w:rPr>
          <w:rFonts w:hint="eastAsia" w:ascii="Times New Roman" w:hAnsi="Times New Roman" w:cs="Times New Roman"/>
          <w:color w:val="auto"/>
          <w:highlight w:val="none"/>
          <w:lang w:val="en-US" w:eastAsia="zh-CN"/>
        </w:rPr>
        <w:t>3</w:t>
      </w:r>
    </w:p>
    <w:p>
      <w:pPr>
        <w:pStyle w:val="20"/>
        <w:keepNext w:val="0"/>
        <w:keepLines w:val="0"/>
        <w:pageBreakBefore w:val="0"/>
        <w:tabs>
          <w:tab w:val="right" w:leader="dot" w:pos="8958"/>
        </w:tabs>
        <w:kinsoku/>
        <w:wordWrap/>
        <w:overflowPunct/>
        <w:topLinePunct w:val="0"/>
        <w:autoSpaceDE/>
        <w:autoSpaceDN/>
        <w:bidi w:val="0"/>
        <w:adjustRightInd/>
        <w:snapToGrid/>
        <w:spacing w:line="360" w:lineRule="exact"/>
        <w:ind w:left="560"/>
        <w:textAlignment w:val="auto"/>
        <w:outlineLvl w:val="9"/>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_Toc9390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7.2  宣传组织体系</w:t>
      </w:r>
      <w:r>
        <w:rPr>
          <w:rFonts w:hint="default" w:ascii="Times New Roman" w:hAnsi="Times New Roman" w:cs="Times New Roman"/>
          <w:color w:val="auto"/>
          <w:highlight w:val="none"/>
        </w:rPr>
        <w:tab/>
      </w:r>
      <w:r>
        <w:rPr>
          <w:rFonts w:hint="eastAsia" w:ascii="Times New Roman" w:hAnsi="Times New Roman" w:cs="Times New Roman"/>
          <w:color w:val="auto"/>
          <w:highlight w:val="none"/>
          <w:lang w:val="en-US" w:eastAsia="zh-CN"/>
        </w:rPr>
        <w:t>7</w:t>
      </w:r>
      <w:r>
        <w:rPr>
          <w:rFonts w:hint="default" w:ascii="Times New Roman" w:hAnsi="Times New Roman" w:cs="Times New Roman"/>
          <w:color w:val="auto"/>
          <w:highlight w:val="none"/>
        </w:rPr>
        <w:fldChar w:fldCharType="end"/>
      </w:r>
      <w:r>
        <w:rPr>
          <w:rFonts w:hint="eastAsia" w:ascii="Times New Roman" w:hAnsi="Times New Roman" w:cs="Times New Roman"/>
          <w:color w:val="auto"/>
          <w:highlight w:val="none"/>
          <w:lang w:val="en-US" w:eastAsia="zh-CN"/>
        </w:rPr>
        <w:t>3</w:t>
      </w:r>
    </w:p>
    <w:p>
      <w:pPr>
        <w:pStyle w:val="20"/>
        <w:keepNext w:val="0"/>
        <w:keepLines w:val="0"/>
        <w:pageBreakBefore w:val="0"/>
        <w:tabs>
          <w:tab w:val="right" w:leader="dot" w:pos="8958"/>
        </w:tabs>
        <w:kinsoku/>
        <w:wordWrap/>
        <w:overflowPunct/>
        <w:topLinePunct w:val="0"/>
        <w:autoSpaceDE/>
        <w:autoSpaceDN/>
        <w:bidi w:val="0"/>
        <w:adjustRightInd/>
        <w:snapToGrid/>
        <w:spacing w:line="360" w:lineRule="exact"/>
        <w:ind w:left="560"/>
        <w:textAlignment w:val="auto"/>
        <w:outlineLvl w:val="9"/>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_Toc13108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7.3  宣传工作</w:t>
      </w:r>
      <w:r>
        <w:rPr>
          <w:rFonts w:hint="default" w:ascii="Times New Roman" w:hAnsi="Times New Roman" w:cs="Times New Roman"/>
          <w:color w:val="auto"/>
          <w:highlight w:val="none"/>
        </w:rPr>
        <w:tab/>
      </w:r>
      <w:r>
        <w:rPr>
          <w:rFonts w:hint="eastAsia" w:ascii="Times New Roman" w:hAnsi="Times New Roman" w:cs="Times New Roman"/>
          <w:color w:val="auto"/>
          <w:highlight w:val="none"/>
          <w:lang w:val="en-US" w:eastAsia="zh-CN"/>
        </w:rPr>
        <w:t>7</w:t>
      </w:r>
      <w:r>
        <w:rPr>
          <w:rFonts w:hint="default" w:ascii="Times New Roman" w:hAnsi="Times New Roman" w:cs="Times New Roman"/>
          <w:color w:val="auto"/>
          <w:highlight w:val="none"/>
        </w:rPr>
        <w:fldChar w:fldCharType="end"/>
      </w:r>
      <w:r>
        <w:rPr>
          <w:rFonts w:hint="eastAsia" w:ascii="Times New Roman" w:hAnsi="Times New Roman" w:cs="Times New Roman"/>
          <w:color w:val="auto"/>
          <w:highlight w:val="none"/>
          <w:lang w:val="en-US" w:eastAsia="zh-CN"/>
        </w:rPr>
        <w:t>3</w:t>
      </w:r>
    </w:p>
    <w:p>
      <w:pPr>
        <w:pStyle w:val="19"/>
        <w:keepNext w:val="0"/>
        <w:keepLines w:val="0"/>
        <w:pageBreakBefore w:val="0"/>
        <w:tabs>
          <w:tab w:val="right" w:leader="dot" w:pos="8958"/>
        </w:tabs>
        <w:kinsoku/>
        <w:wordWrap/>
        <w:overflowPunct/>
        <w:topLinePunct w:val="0"/>
        <w:autoSpaceDE/>
        <w:autoSpaceDN/>
        <w:bidi w:val="0"/>
        <w:adjustRightInd/>
        <w:snapToGrid/>
        <w:spacing w:line="360" w:lineRule="exact"/>
        <w:textAlignment w:val="auto"/>
        <w:outlineLvl w:val="9"/>
        <w:rPr>
          <w:rFonts w:hint="default" w:ascii="Times New Roman" w:hAnsi="Times New Roman" w:eastAsia="宋体" w:cs="Times New Roman"/>
          <w:color w:val="auto"/>
          <w:highlight w:val="none"/>
          <w:lang w:val="en-US" w:eastAsia="zh-CN"/>
        </w:rPr>
      </w:pPr>
      <w:r>
        <w:rPr>
          <w:rFonts w:hint="default" w:ascii="Times New Roman" w:hAnsi="Times New Roman" w:cs="Times New Roman"/>
          <w:b/>
          <w:bCs/>
          <w:color w:val="auto"/>
          <w:highlight w:val="none"/>
        </w:rPr>
        <w:fldChar w:fldCharType="begin"/>
      </w:r>
      <w:r>
        <w:rPr>
          <w:rFonts w:hint="default" w:ascii="Times New Roman" w:hAnsi="Times New Roman" w:cs="Times New Roman"/>
          <w:color w:val="auto"/>
          <w:highlight w:val="none"/>
        </w:rPr>
        <w:instrText xml:space="preserve"> HYPERLINK \l _Toc451 </w:instrText>
      </w:r>
      <w:r>
        <w:rPr>
          <w:rFonts w:hint="default" w:ascii="Times New Roman" w:hAnsi="Times New Roman" w:cs="Times New Roman"/>
          <w:b/>
          <w:bCs/>
          <w:color w:val="auto"/>
          <w:highlight w:val="none"/>
        </w:rPr>
        <w:fldChar w:fldCharType="separate"/>
      </w:r>
      <w:r>
        <w:rPr>
          <w:rFonts w:hint="default" w:ascii="Times New Roman" w:hAnsi="Times New Roman" w:eastAsia="方正黑体简体" w:cs="Times New Roman"/>
          <w:b/>
          <w:bCs/>
          <w:color w:val="auto"/>
          <w:highlight w:val="none"/>
        </w:rPr>
        <w:t>第八章 培训与演习</w:t>
      </w:r>
      <w:r>
        <w:rPr>
          <w:rFonts w:hint="default" w:ascii="Times New Roman" w:hAnsi="Times New Roman" w:cs="Times New Roman"/>
          <w:b/>
          <w:bCs/>
          <w:color w:val="auto"/>
          <w:highlight w:val="none"/>
        </w:rPr>
        <w:tab/>
      </w:r>
      <w:r>
        <w:rPr>
          <w:rFonts w:hint="eastAsia" w:ascii="Times New Roman" w:hAnsi="Times New Roman" w:cs="Times New Roman"/>
          <w:b/>
          <w:bCs/>
          <w:color w:val="auto"/>
          <w:highlight w:val="none"/>
          <w:lang w:val="en-US" w:eastAsia="zh-CN"/>
        </w:rPr>
        <w:t>7</w:t>
      </w:r>
      <w:r>
        <w:rPr>
          <w:rFonts w:hint="default" w:ascii="Times New Roman" w:hAnsi="Times New Roman" w:cs="Times New Roman"/>
          <w:b/>
          <w:bCs/>
          <w:color w:val="auto"/>
          <w:highlight w:val="none"/>
          <w:lang w:val="en-US" w:eastAsia="zh-CN"/>
        </w:rPr>
        <w:t>8</w:t>
      </w:r>
      <w:r>
        <w:rPr>
          <w:rFonts w:hint="default" w:ascii="Times New Roman" w:hAnsi="Times New Roman" w:cs="Times New Roman"/>
          <w:b/>
          <w:bCs/>
          <w:color w:val="auto"/>
          <w:highlight w:val="none"/>
        </w:rPr>
        <w:fldChar w:fldCharType="end"/>
      </w:r>
    </w:p>
    <w:p>
      <w:pPr>
        <w:pStyle w:val="20"/>
        <w:keepNext w:val="0"/>
        <w:keepLines w:val="0"/>
        <w:pageBreakBefore w:val="0"/>
        <w:tabs>
          <w:tab w:val="right" w:leader="dot" w:pos="8958"/>
        </w:tabs>
        <w:kinsoku/>
        <w:wordWrap/>
        <w:overflowPunct/>
        <w:topLinePunct w:val="0"/>
        <w:autoSpaceDE/>
        <w:autoSpaceDN/>
        <w:bidi w:val="0"/>
        <w:adjustRightInd/>
        <w:snapToGrid/>
        <w:spacing w:line="360" w:lineRule="exact"/>
        <w:ind w:left="560"/>
        <w:textAlignment w:val="auto"/>
        <w:outlineLvl w:val="9"/>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_Toc20897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8.1  培训组织</w:t>
      </w:r>
      <w:r>
        <w:rPr>
          <w:rFonts w:hint="default" w:ascii="Times New Roman" w:hAnsi="Times New Roman" w:cs="Times New Roman"/>
          <w:color w:val="auto"/>
          <w:highlight w:val="none"/>
        </w:rPr>
        <w:tab/>
      </w:r>
      <w:r>
        <w:rPr>
          <w:rFonts w:hint="eastAsia" w:ascii="Times New Roman" w:hAnsi="Times New Roman" w:cs="Times New Roman"/>
          <w:color w:val="auto"/>
          <w:highlight w:val="none"/>
          <w:lang w:val="en-US" w:eastAsia="zh-CN"/>
        </w:rPr>
        <w:t>7</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fldChar w:fldCharType="end"/>
      </w:r>
    </w:p>
    <w:p>
      <w:pPr>
        <w:pStyle w:val="20"/>
        <w:keepNext w:val="0"/>
        <w:keepLines w:val="0"/>
        <w:pageBreakBefore w:val="0"/>
        <w:tabs>
          <w:tab w:val="right" w:leader="dot" w:pos="8958"/>
        </w:tabs>
        <w:kinsoku/>
        <w:wordWrap/>
        <w:overflowPunct/>
        <w:topLinePunct w:val="0"/>
        <w:autoSpaceDE/>
        <w:autoSpaceDN/>
        <w:bidi w:val="0"/>
        <w:adjustRightInd/>
        <w:snapToGrid/>
        <w:spacing w:line="360" w:lineRule="exact"/>
        <w:ind w:left="560"/>
        <w:textAlignment w:val="auto"/>
        <w:outlineLvl w:val="9"/>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_Toc29079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8.2  演习方案</w:t>
      </w:r>
      <w:r>
        <w:rPr>
          <w:rFonts w:hint="default" w:ascii="Times New Roman" w:hAnsi="Times New Roman" w:cs="Times New Roman"/>
          <w:color w:val="auto"/>
          <w:highlight w:val="none"/>
        </w:rPr>
        <w:tab/>
      </w:r>
      <w:r>
        <w:rPr>
          <w:rFonts w:hint="eastAsia" w:ascii="Times New Roman" w:hAnsi="Times New Roman" w:cs="Times New Roman"/>
          <w:color w:val="auto"/>
          <w:highlight w:val="none"/>
          <w:lang w:val="en-US" w:eastAsia="zh-CN"/>
        </w:rPr>
        <w:t>7</w:t>
      </w:r>
      <w:r>
        <w:rPr>
          <w:rFonts w:hint="default" w:ascii="Times New Roman" w:hAnsi="Times New Roman" w:cs="Times New Roman"/>
          <w:color w:val="auto"/>
          <w:highlight w:val="none"/>
        </w:rPr>
        <w:fldChar w:fldCharType="end"/>
      </w:r>
      <w:r>
        <w:rPr>
          <w:rFonts w:hint="eastAsia" w:ascii="Times New Roman" w:hAnsi="Times New Roman" w:cs="Times New Roman"/>
          <w:color w:val="auto"/>
          <w:highlight w:val="none"/>
          <w:lang w:val="en-US" w:eastAsia="zh-CN"/>
        </w:rPr>
        <w:t>9</w:t>
      </w:r>
    </w:p>
    <w:p>
      <w:pPr>
        <w:pStyle w:val="19"/>
        <w:keepNext w:val="0"/>
        <w:keepLines w:val="0"/>
        <w:pageBreakBefore w:val="0"/>
        <w:tabs>
          <w:tab w:val="right" w:leader="dot" w:pos="8958"/>
        </w:tabs>
        <w:kinsoku/>
        <w:wordWrap/>
        <w:overflowPunct/>
        <w:topLinePunct w:val="0"/>
        <w:autoSpaceDE/>
        <w:autoSpaceDN/>
        <w:bidi w:val="0"/>
        <w:adjustRightInd/>
        <w:snapToGrid/>
        <w:spacing w:line="360" w:lineRule="exact"/>
        <w:textAlignment w:val="auto"/>
        <w:outlineLvl w:val="9"/>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_Toc23671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附件：1.202</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年电力保供发改委及供电公司联系网络</w:t>
      </w:r>
      <w:r>
        <w:rPr>
          <w:rFonts w:hint="default" w:ascii="Times New Roman" w:hAnsi="Times New Roman" w:cs="Times New Roman"/>
          <w:color w:val="auto"/>
          <w:highlight w:val="none"/>
        </w:rPr>
        <w:tab/>
      </w:r>
      <w:r>
        <w:rPr>
          <w:rFonts w:hint="eastAsia" w:ascii="Times New Roman" w:hAnsi="Times New Roman" w:cs="Times New Roman"/>
          <w:color w:val="auto"/>
          <w:highlight w:val="none"/>
          <w:lang w:val="en-US" w:eastAsia="zh-CN"/>
        </w:rPr>
        <w:t>8</w:t>
      </w:r>
      <w:r>
        <w:rPr>
          <w:rFonts w:hint="default" w:ascii="Times New Roman" w:hAnsi="Times New Roman" w:cs="Times New Roman"/>
          <w:color w:val="auto"/>
          <w:highlight w:val="none"/>
        </w:rPr>
        <w:fldChar w:fldCharType="end"/>
      </w:r>
      <w:r>
        <w:rPr>
          <w:rFonts w:hint="eastAsia" w:ascii="Times New Roman" w:hAnsi="Times New Roman" w:cs="Times New Roman"/>
          <w:color w:val="auto"/>
          <w:highlight w:val="none"/>
          <w:lang w:val="en-US" w:eastAsia="zh-CN"/>
        </w:rPr>
        <w:t>5</w:t>
      </w:r>
    </w:p>
    <w:p>
      <w:pPr>
        <w:pStyle w:val="19"/>
        <w:keepNext w:val="0"/>
        <w:keepLines w:val="0"/>
        <w:pageBreakBefore w:val="0"/>
        <w:tabs>
          <w:tab w:val="right" w:leader="dot" w:pos="8958"/>
        </w:tabs>
        <w:kinsoku/>
        <w:wordWrap/>
        <w:overflowPunct/>
        <w:topLinePunct w:val="0"/>
        <w:autoSpaceDE/>
        <w:autoSpaceDN/>
        <w:bidi w:val="0"/>
        <w:adjustRightInd/>
        <w:snapToGrid/>
        <w:spacing w:line="360" w:lineRule="exact"/>
        <w:ind w:firstLine="600" w:firstLineChars="300"/>
        <w:textAlignment w:val="auto"/>
        <w:outlineLvl w:val="9"/>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_Toc3906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2.202</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年宿迁市电力负荷管理预案用户清单（见纸质文件）</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t>9</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lang w:val="en-US" w:eastAsia="zh-CN"/>
        </w:rPr>
        <w:t>2</w:t>
      </w:r>
    </w:p>
    <w:p>
      <w:pPr>
        <w:pStyle w:val="3"/>
        <w:numPr>
          <w:ilvl w:val="0"/>
          <w:numId w:val="0"/>
        </w:numPr>
        <w:spacing w:before="0" w:after="0" w:line="500" w:lineRule="exact"/>
        <w:rPr>
          <w:rFonts w:hint="default" w:ascii="Times New Roman" w:hAnsi="Times New Roman" w:eastAsia="微软雅黑" w:cs="Times New Roman"/>
          <w:b w:val="0"/>
          <w:color w:val="auto"/>
          <w:kern w:val="2"/>
          <w:szCs w:val="44"/>
          <w:highlight w:val="none"/>
        </w:rPr>
        <w:sectPr>
          <w:footerReference r:id="rId12" w:type="default"/>
          <w:pgSz w:w="11906" w:h="16838"/>
          <w:pgMar w:top="1440" w:right="1474" w:bottom="1474" w:left="1474" w:header="851" w:footer="567" w:gutter="0"/>
          <w:pgBorders>
            <w:top w:val="none" w:sz="0" w:space="0"/>
            <w:left w:val="none" w:sz="0" w:space="0"/>
            <w:bottom w:val="none" w:sz="0" w:space="0"/>
            <w:right w:val="none" w:sz="0" w:space="0"/>
          </w:pgBorders>
          <w:pgNumType w:start="1"/>
          <w:cols w:space="720" w:num="1"/>
          <w:docGrid w:type="linesAndChars" w:linePitch="312" w:charSpace="0"/>
        </w:sectPr>
      </w:pPr>
      <w:bookmarkStart w:id="0" w:name="_Toc6247"/>
      <w:bookmarkStart w:id="1" w:name="_Toc13949"/>
      <w:bookmarkStart w:id="2" w:name="_Toc28082"/>
      <w:bookmarkStart w:id="3" w:name="_Toc32644"/>
    </w:p>
    <w:p>
      <w:pPr>
        <w:pStyle w:val="3"/>
        <w:numPr>
          <w:ilvl w:val="0"/>
          <w:numId w:val="0"/>
        </w:numPr>
        <w:spacing w:before="0" w:after="0" w:line="500" w:lineRule="exact"/>
        <w:rPr>
          <w:rFonts w:hint="default" w:ascii="Times New Roman" w:hAnsi="Times New Roman" w:eastAsia="微软雅黑" w:cs="Times New Roman"/>
          <w:b w:val="0"/>
          <w:color w:val="auto"/>
          <w:kern w:val="2"/>
          <w:szCs w:val="44"/>
          <w:highlight w:val="none"/>
        </w:rPr>
        <w:sectPr>
          <w:footerReference r:id="rId13" w:type="default"/>
          <w:pgSz w:w="11906" w:h="16838"/>
          <w:pgMar w:top="1440" w:right="1474" w:bottom="1474" w:left="1474" w:header="851" w:footer="567" w:gutter="0"/>
          <w:pgBorders>
            <w:top w:val="none" w:sz="0" w:space="0"/>
            <w:left w:val="none" w:sz="0" w:space="0"/>
            <w:bottom w:val="none" w:sz="0" w:space="0"/>
            <w:right w:val="none" w:sz="0" w:space="0"/>
          </w:pgBorders>
          <w:pgNumType w:start="1"/>
          <w:cols w:space="720" w:num="1"/>
          <w:docGrid w:type="linesAndChars" w:linePitch="312" w:charSpace="0"/>
        </w:sectPr>
      </w:pPr>
    </w:p>
    <w:p>
      <w:pPr>
        <w:pStyle w:val="3"/>
        <w:numPr>
          <w:ilvl w:val="0"/>
          <w:numId w:val="0"/>
        </w:numPr>
        <w:spacing w:before="0" w:after="0" w:line="500" w:lineRule="exact"/>
        <w:rPr>
          <w:rFonts w:hint="default" w:ascii="Times New Roman" w:hAnsi="Times New Roman" w:eastAsia="方正小标宋_GBK" w:cs="Times New Roman"/>
          <w:b w:val="0"/>
          <w:color w:val="auto"/>
          <w:kern w:val="2"/>
          <w:sz w:val="44"/>
          <w:szCs w:val="44"/>
          <w:highlight w:val="none"/>
        </w:rPr>
      </w:pPr>
      <w:r>
        <w:rPr>
          <w:rFonts w:hint="default" w:ascii="Times New Roman" w:hAnsi="Times New Roman" w:eastAsia="方正小标宋_GBK" w:cs="Times New Roman"/>
          <w:b w:val="0"/>
          <w:color w:val="auto"/>
          <w:kern w:val="2"/>
          <w:sz w:val="44"/>
          <w:szCs w:val="44"/>
          <w:highlight w:val="none"/>
        </w:rPr>
        <w:t>宿迁市202</w:t>
      </w:r>
      <w:r>
        <w:rPr>
          <w:rFonts w:hint="default" w:ascii="Times New Roman" w:hAnsi="Times New Roman" w:eastAsia="方正小标宋_GBK" w:cs="Times New Roman"/>
          <w:b w:val="0"/>
          <w:color w:val="auto"/>
          <w:kern w:val="2"/>
          <w:sz w:val="44"/>
          <w:szCs w:val="44"/>
          <w:highlight w:val="none"/>
          <w:lang w:val="en-US" w:eastAsia="zh-CN"/>
        </w:rPr>
        <w:t>5</w:t>
      </w:r>
      <w:r>
        <w:rPr>
          <w:rFonts w:hint="default" w:ascii="Times New Roman" w:hAnsi="Times New Roman" w:eastAsia="方正小标宋_GBK" w:cs="Times New Roman"/>
          <w:b w:val="0"/>
          <w:color w:val="auto"/>
          <w:kern w:val="2"/>
          <w:sz w:val="44"/>
          <w:szCs w:val="44"/>
          <w:highlight w:val="none"/>
        </w:rPr>
        <w:t>年电力负荷管理预案</w:t>
      </w:r>
      <w:bookmarkEnd w:id="0"/>
      <w:bookmarkEnd w:id="1"/>
      <w:bookmarkEnd w:id="2"/>
      <w:bookmarkEnd w:id="3"/>
    </w:p>
    <w:p>
      <w:pPr>
        <w:pStyle w:val="3"/>
        <w:keepNext w:val="0"/>
        <w:keepLines w:val="0"/>
        <w:numPr>
          <w:ilvl w:val="0"/>
          <w:numId w:val="0"/>
        </w:numPr>
        <w:spacing w:before="0" w:after="0" w:line="500" w:lineRule="exact"/>
        <w:rPr>
          <w:rFonts w:hint="default" w:ascii="Times New Roman" w:hAnsi="Times New Roman" w:eastAsia="方正黑体简体" w:cs="Times New Roman"/>
          <w:b w:val="0"/>
          <w:color w:val="auto"/>
          <w:kern w:val="2"/>
          <w:sz w:val="28"/>
          <w:szCs w:val="28"/>
          <w:highlight w:val="none"/>
        </w:rPr>
      </w:pPr>
      <w:bookmarkStart w:id="4" w:name="_Toc28697"/>
      <w:bookmarkStart w:id="5" w:name="_Toc7321"/>
      <w:bookmarkStart w:id="6" w:name="_Toc1266"/>
      <w:bookmarkStart w:id="7" w:name="_Toc135605742"/>
    </w:p>
    <w:p>
      <w:pPr>
        <w:pStyle w:val="3"/>
        <w:keepNext w:val="0"/>
        <w:keepLines w:val="0"/>
        <w:numPr>
          <w:ilvl w:val="0"/>
          <w:numId w:val="0"/>
        </w:numPr>
        <w:spacing w:before="0" w:after="0" w:line="500" w:lineRule="exact"/>
        <w:rPr>
          <w:rFonts w:hint="default" w:ascii="Times New Roman" w:hAnsi="Times New Roman" w:eastAsia="方正黑体简体" w:cs="Times New Roman"/>
          <w:b w:val="0"/>
          <w:color w:val="auto"/>
          <w:kern w:val="2"/>
          <w:sz w:val="32"/>
          <w:highlight w:val="none"/>
        </w:rPr>
      </w:pPr>
      <w:bookmarkStart w:id="8" w:name="_Toc26236"/>
      <w:bookmarkStart w:id="9" w:name="_Toc13651"/>
      <w:r>
        <w:rPr>
          <w:rFonts w:hint="default" w:ascii="Times New Roman" w:hAnsi="Times New Roman" w:eastAsia="方正黑体_GBK" w:cs="Times New Roman"/>
          <w:b w:val="0"/>
          <w:color w:val="auto"/>
          <w:kern w:val="2"/>
          <w:sz w:val="32"/>
          <w:highlight w:val="none"/>
        </w:rPr>
        <w:t>第一章  工作目标</w:t>
      </w:r>
      <w:bookmarkEnd w:id="4"/>
      <w:bookmarkEnd w:id="5"/>
      <w:bookmarkEnd w:id="6"/>
      <w:bookmarkEnd w:id="7"/>
      <w:bookmarkEnd w:id="8"/>
      <w:bookmarkEnd w:id="9"/>
    </w:p>
    <w:p>
      <w:pPr>
        <w:pStyle w:val="5"/>
        <w:keepNext w:val="0"/>
        <w:keepLines w:val="0"/>
        <w:numPr>
          <w:ilvl w:val="0"/>
          <w:numId w:val="0"/>
        </w:numPr>
        <w:tabs>
          <w:tab w:val="left" w:pos="576"/>
        </w:tabs>
        <w:spacing w:before="0" w:after="0"/>
        <w:ind w:firstLine="643" w:firstLineChars="200"/>
        <w:rPr>
          <w:rFonts w:hint="default" w:ascii="Times New Roman" w:hAnsi="Times New Roman" w:eastAsia="方正仿宋_GBK" w:cs="Times New Roman"/>
          <w:bCs/>
          <w:color w:val="auto"/>
          <w:kern w:val="2"/>
          <w:sz w:val="32"/>
          <w:szCs w:val="32"/>
          <w:highlight w:val="none"/>
        </w:rPr>
      </w:pPr>
      <w:bookmarkStart w:id="10" w:name="_Toc8216"/>
      <w:bookmarkStart w:id="11" w:name="_Toc317170145"/>
      <w:bookmarkStart w:id="12" w:name="_Toc20611"/>
      <w:bookmarkStart w:id="13" w:name="_Toc1870"/>
      <w:bookmarkStart w:id="14" w:name="_Toc10008"/>
      <w:bookmarkStart w:id="15" w:name="_Toc9975"/>
      <w:bookmarkStart w:id="16" w:name="_Toc7760"/>
      <w:bookmarkStart w:id="17" w:name="_Toc3666"/>
    </w:p>
    <w:p>
      <w:pPr>
        <w:pStyle w:val="5"/>
        <w:keepNext w:val="0"/>
        <w:keepLines w:val="0"/>
        <w:numPr>
          <w:ilvl w:val="0"/>
          <w:numId w:val="0"/>
        </w:numPr>
        <w:tabs>
          <w:tab w:val="left" w:pos="576"/>
        </w:tabs>
        <w:spacing w:before="0" w:after="0"/>
        <w:ind w:firstLine="643" w:firstLineChars="200"/>
        <w:rPr>
          <w:rFonts w:hint="default" w:ascii="Times New Roman" w:hAnsi="Times New Roman" w:eastAsia="方正仿宋_GBK" w:cs="Times New Roman"/>
          <w:bCs/>
          <w:color w:val="auto"/>
          <w:kern w:val="2"/>
          <w:sz w:val="32"/>
          <w:szCs w:val="32"/>
          <w:highlight w:val="none"/>
        </w:rPr>
      </w:pPr>
      <w:r>
        <w:rPr>
          <w:rFonts w:hint="default" w:ascii="Times New Roman" w:hAnsi="Times New Roman" w:eastAsia="方正仿宋_GBK" w:cs="Times New Roman"/>
          <w:bCs/>
          <w:color w:val="auto"/>
          <w:kern w:val="2"/>
          <w:sz w:val="32"/>
          <w:szCs w:val="32"/>
          <w:highlight w:val="none"/>
        </w:rPr>
        <w:t>1.1  编制目的</w:t>
      </w:r>
      <w:bookmarkEnd w:id="10"/>
      <w:bookmarkEnd w:id="11"/>
      <w:bookmarkEnd w:id="12"/>
      <w:bookmarkEnd w:id="13"/>
      <w:bookmarkEnd w:id="14"/>
      <w:bookmarkEnd w:id="15"/>
      <w:bookmarkEnd w:id="16"/>
      <w:bookmarkEnd w:id="17"/>
    </w:p>
    <w:p>
      <w:pPr>
        <w:keepNext w:val="0"/>
        <w:keepLines w:val="0"/>
        <w:pageBreakBefore w:val="0"/>
        <w:widowControl/>
        <w:kinsoku/>
        <w:wordWrap/>
        <w:overflowPunct/>
        <w:topLinePunct w:val="0"/>
        <w:autoSpaceDE/>
        <w:autoSpaceDN/>
        <w:bidi w:val="0"/>
        <w:adjustRightInd/>
        <w:snapToGrid/>
        <w:ind w:firstLine="640"/>
        <w:jc w:val="left"/>
        <w:textAlignment w:val="auto"/>
        <w:rPr>
          <w:rFonts w:hint="default" w:ascii="Times New Roman" w:hAnsi="Times New Roman" w:eastAsia="方正仿宋_GBK" w:cs="Times New Roman"/>
          <w:color w:val="auto"/>
          <w:sz w:val="32"/>
          <w:szCs w:val="32"/>
          <w:highlight w:val="none"/>
          <w:lang w:val="zh-CN"/>
        </w:rPr>
      </w:pPr>
      <w:r>
        <w:rPr>
          <w:rFonts w:hint="default" w:ascii="Times New Roman" w:hAnsi="Times New Roman" w:eastAsia="方正仿宋_GBK" w:cs="Times New Roman"/>
          <w:color w:val="auto"/>
          <w:sz w:val="32"/>
          <w:szCs w:val="32"/>
          <w:highlight w:val="none"/>
        </w:rPr>
        <w:t>受复杂严峻的外部能源供应环境、极端天气频发、新能源发电波动性凸显等多重因素影响，今年全省能源电力保供形势依然严峻。针对今年迎峰度夏（冬）电力供需紧平衡态势</w:t>
      </w:r>
      <w:r>
        <w:rPr>
          <w:rFonts w:hint="default" w:ascii="Times New Roman" w:hAnsi="Times New Roman" w:eastAsia="方正仿宋_GBK" w:cs="Times New Roman"/>
          <w:color w:val="auto"/>
          <w:sz w:val="32"/>
          <w:szCs w:val="32"/>
          <w:highlight w:val="none"/>
          <w:lang w:val="zh-CN"/>
        </w:rPr>
        <w:t>，</w:t>
      </w:r>
      <w:r>
        <w:rPr>
          <w:rFonts w:hint="default" w:ascii="Times New Roman" w:hAnsi="Times New Roman" w:eastAsia="方正仿宋_GBK" w:cs="Times New Roman"/>
          <w:color w:val="auto"/>
          <w:sz w:val="32"/>
          <w:szCs w:val="32"/>
          <w:highlight w:val="none"/>
        </w:rPr>
        <w:t>宿迁</w:t>
      </w:r>
      <w:r>
        <w:rPr>
          <w:rFonts w:hint="default" w:ascii="Times New Roman" w:hAnsi="Times New Roman" w:eastAsia="方正仿宋_GBK" w:cs="Times New Roman"/>
          <w:color w:val="auto"/>
          <w:sz w:val="32"/>
          <w:szCs w:val="32"/>
          <w:highlight w:val="none"/>
          <w:lang w:val="zh-CN"/>
        </w:rPr>
        <w:t>地区可能出现电力缺口。为进一步做好202</w:t>
      </w:r>
      <w:r>
        <w:rPr>
          <w:rFonts w:hint="default" w:ascii="Times New Roman" w:hAnsi="Times New Roman" w:eastAsia="方正仿宋_GBK" w:cs="Times New Roman"/>
          <w:color w:val="auto"/>
          <w:sz w:val="32"/>
          <w:szCs w:val="32"/>
          <w:highlight w:val="none"/>
          <w:lang w:val="en-US" w:eastAsia="zh-CN"/>
        </w:rPr>
        <w:t>5</w:t>
      </w:r>
      <w:r>
        <w:rPr>
          <w:rFonts w:hint="default" w:ascii="Times New Roman" w:hAnsi="Times New Roman" w:eastAsia="方正仿宋_GBK" w:cs="Times New Roman"/>
          <w:color w:val="auto"/>
          <w:sz w:val="32"/>
          <w:szCs w:val="32"/>
          <w:highlight w:val="none"/>
          <w:lang w:val="zh-CN"/>
        </w:rPr>
        <w:t>年</w:t>
      </w:r>
      <w:r>
        <w:rPr>
          <w:rFonts w:hint="default" w:ascii="Times New Roman" w:hAnsi="Times New Roman" w:eastAsia="方正仿宋_GBK" w:cs="Times New Roman"/>
          <w:color w:val="auto"/>
          <w:sz w:val="32"/>
          <w:szCs w:val="32"/>
          <w:highlight w:val="none"/>
        </w:rPr>
        <w:t>能源电力保障</w:t>
      </w:r>
      <w:r>
        <w:rPr>
          <w:rFonts w:hint="default" w:ascii="Times New Roman" w:hAnsi="Times New Roman" w:eastAsia="方正仿宋_GBK" w:cs="Times New Roman"/>
          <w:color w:val="auto"/>
          <w:sz w:val="32"/>
          <w:szCs w:val="32"/>
          <w:highlight w:val="none"/>
          <w:lang w:val="zh-CN"/>
        </w:rPr>
        <w:t>工作，有效应对可能出现的供用电矛盾和突发情况，促进电力资源优化配置，根据</w:t>
      </w:r>
      <w:r>
        <w:rPr>
          <w:rFonts w:hint="default" w:ascii="Times New Roman" w:hAnsi="Times New Roman" w:eastAsia="方正仿宋_GBK" w:cs="Times New Roman"/>
          <w:color w:val="auto"/>
          <w:sz w:val="32"/>
          <w:szCs w:val="32"/>
          <w:highlight w:val="none"/>
        </w:rPr>
        <w:t>省发改委、</w:t>
      </w:r>
      <w:r>
        <w:rPr>
          <w:rFonts w:hint="default" w:ascii="Times New Roman" w:hAnsi="Times New Roman" w:eastAsia="方正仿宋_GBK" w:cs="Times New Roman"/>
          <w:color w:val="auto"/>
          <w:sz w:val="32"/>
          <w:szCs w:val="32"/>
          <w:highlight w:val="none"/>
          <w:lang w:val="zh-CN"/>
        </w:rPr>
        <w:t>省电力公司的统一部署，根据国家发改委《电力</w:t>
      </w:r>
      <w:r>
        <w:rPr>
          <w:rFonts w:hint="default" w:ascii="Times New Roman" w:hAnsi="Times New Roman" w:eastAsia="方正仿宋_GBK" w:cs="Times New Roman"/>
          <w:color w:val="auto"/>
          <w:sz w:val="32"/>
          <w:szCs w:val="32"/>
          <w:highlight w:val="none"/>
        </w:rPr>
        <w:t>负荷</w:t>
      </w:r>
      <w:r>
        <w:rPr>
          <w:rFonts w:hint="default" w:ascii="Times New Roman" w:hAnsi="Times New Roman" w:eastAsia="方正仿宋_GBK" w:cs="Times New Roman"/>
          <w:color w:val="auto"/>
          <w:sz w:val="32"/>
          <w:szCs w:val="32"/>
          <w:highlight w:val="none"/>
          <w:lang w:val="zh-CN"/>
        </w:rPr>
        <w:t>管理办法（</w:t>
      </w:r>
      <w:r>
        <w:rPr>
          <w:rFonts w:hint="default" w:ascii="Times New Roman" w:hAnsi="Times New Roman" w:eastAsia="方正仿宋_GBK" w:cs="Times New Roman"/>
          <w:color w:val="auto"/>
          <w:sz w:val="32"/>
          <w:szCs w:val="32"/>
          <w:highlight w:val="none"/>
        </w:rPr>
        <w:t>2023年</w:t>
      </w:r>
      <w:r>
        <w:rPr>
          <w:rFonts w:hint="default" w:ascii="Times New Roman" w:hAnsi="Times New Roman" w:eastAsia="方正仿宋_GBK" w:cs="Times New Roman"/>
          <w:color w:val="auto"/>
          <w:sz w:val="32"/>
          <w:szCs w:val="32"/>
          <w:highlight w:val="none"/>
          <w:lang w:val="zh-CN"/>
        </w:rPr>
        <w:t>版）》（发改运行</w:t>
      </w:r>
      <w:r>
        <w:rPr>
          <w:rFonts w:hint="default" w:ascii="Times New Roman" w:hAnsi="Times New Roman" w:eastAsia="方正仿宋_GBK" w:cs="Times New Roman"/>
          <w:color w:val="auto"/>
          <w:sz w:val="32"/>
          <w:szCs w:val="32"/>
          <w:highlight w:val="none"/>
        </w:rPr>
        <w:t>规</w:t>
      </w:r>
      <w:r>
        <w:rPr>
          <w:rFonts w:hint="default" w:ascii="Times New Roman" w:hAnsi="Times New Roman" w:eastAsia="方正仿宋_GBK" w:cs="Times New Roman"/>
          <w:color w:val="auto"/>
          <w:sz w:val="32"/>
          <w:szCs w:val="32"/>
          <w:highlight w:val="none"/>
          <w:lang w:val="zh-CN"/>
        </w:rPr>
        <w:t>〔202</w:t>
      </w:r>
      <w:r>
        <w:rPr>
          <w:rFonts w:hint="default" w:ascii="Times New Roman" w:hAnsi="Times New Roman" w:eastAsia="方正仿宋_GBK" w:cs="Times New Roman"/>
          <w:color w:val="auto"/>
          <w:sz w:val="32"/>
          <w:szCs w:val="32"/>
          <w:highlight w:val="none"/>
        </w:rPr>
        <w:t>3</w:t>
      </w:r>
      <w:r>
        <w:rPr>
          <w:rFonts w:hint="default" w:ascii="Times New Roman" w:hAnsi="Times New Roman" w:eastAsia="方正仿宋_GBK" w:cs="Times New Roman"/>
          <w:color w:val="auto"/>
          <w:sz w:val="32"/>
          <w:szCs w:val="32"/>
          <w:highlight w:val="none"/>
          <w:lang w:val="zh-CN"/>
        </w:rPr>
        <w:t>〕</w:t>
      </w:r>
      <w:r>
        <w:rPr>
          <w:rFonts w:hint="default" w:ascii="Times New Roman" w:hAnsi="Times New Roman" w:eastAsia="方正仿宋_GBK" w:cs="Times New Roman"/>
          <w:color w:val="auto"/>
          <w:sz w:val="32"/>
          <w:szCs w:val="32"/>
          <w:highlight w:val="none"/>
        </w:rPr>
        <w:t>1261</w:t>
      </w:r>
      <w:r>
        <w:rPr>
          <w:rFonts w:hint="default" w:ascii="Times New Roman" w:hAnsi="Times New Roman" w:eastAsia="方正仿宋_GBK" w:cs="Times New Roman"/>
          <w:color w:val="auto"/>
          <w:sz w:val="32"/>
          <w:szCs w:val="32"/>
          <w:highlight w:val="none"/>
          <w:lang w:val="zh-CN"/>
        </w:rPr>
        <w:t>号）、</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eastAsia="zh-Hans"/>
        </w:rPr>
        <w:t>电力需求侧管理办法（2023年版）》</w:t>
      </w:r>
      <w:r>
        <w:rPr>
          <w:rFonts w:hint="default" w:ascii="Times New Roman" w:hAnsi="Times New Roman" w:eastAsia="方正仿宋_GBK" w:cs="Times New Roman"/>
          <w:color w:val="auto"/>
          <w:kern w:val="0"/>
          <w:sz w:val="32"/>
          <w:szCs w:val="32"/>
          <w:highlight w:val="none"/>
          <w:shd w:val="clear" w:color="auto" w:fill="FFFFFF"/>
          <w:lang w:bidi="ar"/>
        </w:rPr>
        <w:t>（发改运行规〔2023〕1283号）、</w:t>
      </w:r>
      <w:r>
        <w:rPr>
          <w:rFonts w:hint="default" w:ascii="Times New Roman" w:hAnsi="Times New Roman" w:eastAsia="方正仿宋_GBK" w:cs="Times New Roman"/>
          <w:color w:val="auto"/>
          <w:sz w:val="32"/>
          <w:szCs w:val="32"/>
          <w:highlight w:val="none"/>
          <w:lang w:val="zh-CN"/>
        </w:rPr>
        <w:t>《江苏省电力条例》、《省发展改革委关于做好202</w:t>
      </w:r>
      <w:r>
        <w:rPr>
          <w:rFonts w:hint="default" w:ascii="Times New Roman" w:hAnsi="Times New Roman" w:eastAsia="方正仿宋_GBK" w:cs="Times New Roman"/>
          <w:color w:val="auto"/>
          <w:sz w:val="32"/>
          <w:szCs w:val="32"/>
          <w:highlight w:val="none"/>
          <w:lang w:val="en-US" w:eastAsia="zh-CN"/>
        </w:rPr>
        <w:t>5</w:t>
      </w:r>
      <w:r>
        <w:rPr>
          <w:rFonts w:hint="default" w:ascii="Times New Roman" w:hAnsi="Times New Roman" w:eastAsia="方正仿宋_GBK" w:cs="Times New Roman"/>
          <w:color w:val="auto"/>
          <w:sz w:val="32"/>
          <w:szCs w:val="32"/>
          <w:highlight w:val="none"/>
          <w:lang w:val="zh-CN"/>
        </w:rPr>
        <w:t>年电力</w:t>
      </w:r>
      <w:r>
        <w:rPr>
          <w:rFonts w:hint="default" w:ascii="Times New Roman" w:hAnsi="Times New Roman" w:eastAsia="方正仿宋_GBK" w:cs="Times New Roman"/>
          <w:color w:val="auto"/>
          <w:sz w:val="32"/>
          <w:szCs w:val="32"/>
          <w:highlight w:val="none"/>
        </w:rPr>
        <w:t>负荷管理工作的</w:t>
      </w:r>
      <w:r>
        <w:rPr>
          <w:rFonts w:hint="default" w:ascii="Times New Roman" w:hAnsi="Times New Roman" w:eastAsia="方正仿宋_GBK" w:cs="Times New Roman"/>
          <w:color w:val="auto"/>
          <w:sz w:val="32"/>
          <w:szCs w:val="32"/>
          <w:highlight w:val="none"/>
          <w:lang w:val="zh-CN"/>
        </w:rPr>
        <w:t>通知》（苏发改运行发〔20</w:t>
      </w:r>
      <w:r>
        <w:rPr>
          <w:rFonts w:hint="default" w:ascii="Times New Roman" w:hAnsi="Times New Roman" w:eastAsia="方正仿宋_GBK" w:cs="Times New Roman"/>
          <w:color w:val="auto"/>
          <w:sz w:val="32"/>
          <w:szCs w:val="32"/>
          <w:highlight w:val="none"/>
          <w:lang w:val="en-US" w:eastAsia="zh-CN"/>
        </w:rPr>
        <w:t>25</w:t>
      </w:r>
      <w:r>
        <w:rPr>
          <w:rFonts w:hint="default" w:ascii="Times New Roman" w:hAnsi="Times New Roman" w:eastAsia="方正仿宋_GBK" w:cs="Times New Roman"/>
          <w:color w:val="auto"/>
          <w:sz w:val="32"/>
          <w:szCs w:val="32"/>
          <w:highlight w:val="none"/>
          <w:lang w:val="zh-CN"/>
        </w:rPr>
        <w:t>〕</w:t>
      </w:r>
      <w:r>
        <w:rPr>
          <w:rFonts w:hint="default" w:ascii="Times New Roman" w:hAnsi="Times New Roman" w:eastAsia="方正仿宋_GBK" w:cs="Times New Roman"/>
          <w:color w:val="auto"/>
          <w:sz w:val="32"/>
          <w:szCs w:val="32"/>
          <w:highlight w:val="none"/>
        </w:rPr>
        <w:t>3</w:t>
      </w:r>
      <w:r>
        <w:rPr>
          <w:rFonts w:hint="default" w:ascii="Times New Roman" w:hAnsi="Times New Roman" w:eastAsia="方正仿宋_GBK" w:cs="Times New Roman"/>
          <w:color w:val="auto"/>
          <w:sz w:val="32"/>
          <w:szCs w:val="32"/>
          <w:highlight w:val="none"/>
          <w:lang w:val="en-US" w:eastAsia="zh-CN"/>
        </w:rPr>
        <w:t>17</w:t>
      </w:r>
      <w:r>
        <w:rPr>
          <w:rFonts w:hint="default" w:ascii="Times New Roman" w:hAnsi="Times New Roman" w:eastAsia="方正仿宋_GBK" w:cs="Times New Roman"/>
          <w:color w:val="auto"/>
          <w:sz w:val="32"/>
          <w:szCs w:val="32"/>
          <w:highlight w:val="none"/>
          <w:lang w:val="zh-CN"/>
        </w:rPr>
        <w:t>号）、</w:t>
      </w:r>
      <w:r>
        <w:rPr>
          <w:rFonts w:hint="default" w:ascii="Times New Roman" w:hAnsi="Times New Roman" w:eastAsia="方正仿宋_GBK" w:cs="Times New Roman"/>
          <w:color w:val="auto"/>
          <w:sz w:val="32"/>
          <w:szCs w:val="32"/>
          <w:highlight w:val="none"/>
          <w:lang w:val="en-US" w:eastAsia="zh-CN"/>
        </w:rPr>
        <w:t>市发展改革委</w:t>
      </w:r>
      <w:r>
        <w:rPr>
          <w:rFonts w:hint="default" w:ascii="Times New Roman" w:hAnsi="Times New Roman" w:eastAsia="方正仿宋_GBK" w:cs="Times New Roman"/>
          <w:color w:val="auto"/>
          <w:sz w:val="32"/>
          <w:szCs w:val="32"/>
          <w:highlight w:val="none"/>
          <w:lang w:val="zh-CN"/>
        </w:rPr>
        <w:t>《</w:t>
      </w:r>
      <w:r>
        <w:rPr>
          <w:rFonts w:hint="default" w:ascii="Times New Roman" w:hAnsi="Times New Roman" w:eastAsia="方正仿宋_GBK" w:cs="Times New Roman"/>
          <w:color w:val="auto"/>
          <w:sz w:val="32"/>
          <w:szCs w:val="32"/>
          <w:highlight w:val="none"/>
          <w:lang w:val="en-US" w:eastAsia="zh-CN"/>
        </w:rPr>
        <w:t>关于转发做好2025年电力负荷管理工作的通知</w:t>
      </w:r>
      <w:r>
        <w:rPr>
          <w:rFonts w:hint="default" w:ascii="Times New Roman" w:hAnsi="Times New Roman" w:eastAsia="方正仿宋_GBK" w:cs="Times New Roman"/>
          <w:color w:val="auto"/>
          <w:sz w:val="32"/>
          <w:szCs w:val="32"/>
          <w:highlight w:val="none"/>
          <w:lang w:val="zh-CN"/>
        </w:rPr>
        <w:t>》（</w:t>
      </w:r>
      <w:r>
        <w:rPr>
          <w:rFonts w:hint="default" w:ascii="Times New Roman" w:hAnsi="Times New Roman" w:eastAsia="方正仿宋_GBK" w:cs="Times New Roman"/>
          <w:color w:val="auto"/>
          <w:sz w:val="32"/>
          <w:szCs w:val="32"/>
          <w:highlight w:val="none"/>
          <w:lang w:val="en-US" w:eastAsia="zh-CN"/>
        </w:rPr>
        <w:t>宿</w:t>
      </w:r>
      <w:r>
        <w:rPr>
          <w:rFonts w:hint="default" w:ascii="Times New Roman" w:hAnsi="Times New Roman" w:eastAsia="方正仿宋_GBK" w:cs="Times New Roman"/>
          <w:color w:val="auto"/>
          <w:sz w:val="32"/>
          <w:szCs w:val="32"/>
          <w:highlight w:val="none"/>
          <w:lang w:val="zh-CN"/>
        </w:rPr>
        <w:t>发改</w:t>
      </w:r>
      <w:r>
        <w:rPr>
          <w:rFonts w:hint="default" w:ascii="Times New Roman" w:hAnsi="Times New Roman" w:eastAsia="方正仿宋_GBK" w:cs="Times New Roman"/>
          <w:color w:val="auto"/>
          <w:sz w:val="32"/>
          <w:szCs w:val="32"/>
          <w:highlight w:val="none"/>
          <w:lang w:val="en-US" w:eastAsia="zh-CN"/>
        </w:rPr>
        <w:t>变笺</w:t>
      </w:r>
      <w:r>
        <w:rPr>
          <w:rFonts w:hint="default" w:ascii="Times New Roman" w:hAnsi="Times New Roman" w:eastAsia="方正仿宋_GBK" w:cs="Times New Roman"/>
          <w:color w:val="auto"/>
          <w:sz w:val="32"/>
          <w:szCs w:val="32"/>
          <w:highlight w:val="none"/>
          <w:lang w:val="zh-CN"/>
        </w:rPr>
        <w:t>发〔202</w:t>
      </w:r>
      <w:r>
        <w:rPr>
          <w:rFonts w:hint="default" w:ascii="Times New Roman" w:hAnsi="Times New Roman" w:eastAsia="方正仿宋_GBK" w:cs="Times New Roman"/>
          <w:color w:val="auto"/>
          <w:sz w:val="32"/>
          <w:szCs w:val="32"/>
          <w:highlight w:val="none"/>
          <w:lang w:val="en-US" w:eastAsia="zh-CN"/>
        </w:rPr>
        <w:t>5</w:t>
      </w:r>
      <w:r>
        <w:rPr>
          <w:rFonts w:hint="default" w:ascii="Times New Roman" w:hAnsi="Times New Roman" w:eastAsia="方正仿宋_GBK" w:cs="Times New Roman"/>
          <w:color w:val="auto"/>
          <w:sz w:val="32"/>
          <w:szCs w:val="32"/>
          <w:highlight w:val="none"/>
          <w:lang w:val="zh-CN"/>
        </w:rPr>
        <w:t>〕</w:t>
      </w:r>
      <w:r>
        <w:rPr>
          <w:rFonts w:hint="default" w:ascii="Times New Roman" w:hAnsi="Times New Roman" w:eastAsia="方正仿宋_GBK" w:cs="Times New Roman"/>
          <w:color w:val="auto"/>
          <w:sz w:val="32"/>
          <w:szCs w:val="32"/>
          <w:highlight w:val="none"/>
          <w:lang w:val="en-US" w:eastAsia="zh-CN"/>
        </w:rPr>
        <w:t>34</w:t>
      </w:r>
      <w:r>
        <w:rPr>
          <w:rFonts w:hint="default" w:ascii="Times New Roman" w:hAnsi="Times New Roman" w:eastAsia="方正仿宋_GBK" w:cs="Times New Roman"/>
          <w:color w:val="auto"/>
          <w:sz w:val="32"/>
          <w:szCs w:val="32"/>
          <w:highlight w:val="none"/>
          <w:lang w:val="zh-CN"/>
        </w:rPr>
        <w:t>号），编制《宿迁市202</w:t>
      </w:r>
      <w:r>
        <w:rPr>
          <w:rFonts w:hint="default" w:ascii="Times New Roman" w:hAnsi="Times New Roman" w:eastAsia="方正仿宋_GBK" w:cs="Times New Roman"/>
          <w:color w:val="auto"/>
          <w:sz w:val="32"/>
          <w:szCs w:val="32"/>
          <w:highlight w:val="none"/>
          <w:lang w:val="en-US" w:eastAsia="zh-CN"/>
        </w:rPr>
        <w:t>5</w:t>
      </w:r>
      <w:r>
        <w:rPr>
          <w:rFonts w:hint="default" w:ascii="Times New Roman" w:hAnsi="Times New Roman" w:eastAsia="方正仿宋_GBK" w:cs="Times New Roman"/>
          <w:color w:val="auto"/>
          <w:sz w:val="32"/>
          <w:szCs w:val="32"/>
          <w:highlight w:val="none"/>
          <w:lang w:val="zh-CN"/>
        </w:rPr>
        <w:t>年电力负荷管理预案》。</w:t>
      </w:r>
    </w:p>
    <w:p>
      <w:pPr>
        <w:pStyle w:val="5"/>
        <w:ind w:firstLine="640"/>
        <w:rPr>
          <w:rFonts w:hint="default" w:ascii="Times New Roman" w:hAnsi="Times New Roman" w:eastAsia="方正仿宋_GBK" w:cs="Times New Roman"/>
          <w:color w:val="auto"/>
          <w:sz w:val="32"/>
          <w:szCs w:val="32"/>
          <w:highlight w:val="none"/>
        </w:rPr>
      </w:pPr>
      <w:bookmarkStart w:id="18" w:name="_Toc873"/>
      <w:bookmarkStart w:id="19" w:name="_Toc16416"/>
      <w:bookmarkStart w:id="20" w:name="_Toc25608"/>
      <w:bookmarkStart w:id="21" w:name="_Toc317170146"/>
      <w:bookmarkStart w:id="22" w:name="_Toc29388"/>
      <w:bookmarkStart w:id="23" w:name="_Toc10620"/>
      <w:bookmarkStart w:id="24" w:name="_Toc3357"/>
      <w:bookmarkStart w:id="25" w:name="_Toc26361"/>
      <w:r>
        <w:rPr>
          <w:rFonts w:hint="default" w:ascii="Times New Roman" w:hAnsi="Times New Roman" w:eastAsia="方正仿宋_GBK" w:cs="Times New Roman"/>
          <w:color w:val="auto"/>
          <w:sz w:val="32"/>
          <w:szCs w:val="32"/>
          <w:highlight w:val="none"/>
        </w:rPr>
        <w:t>1.2  适用范围</w:t>
      </w:r>
      <w:bookmarkEnd w:id="18"/>
      <w:bookmarkEnd w:id="19"/>
      <w:bookmarkEnd w:id="20"/>
      <w:bookmarkEnd w:id="21"/>
      <w:bookmarkEnd w:id="22"/>
      <w:bookmarkEnd w:id="23"/>
      <w:bookmarkEnd w:id="24"/>
      <w:bookmarkEnd w:id="25"/>
    </w:p>
    <w:p>
      <w:pPr>
        <w:adjustRightInd w:val="0"/>
        <w:snapToGrid w:val="0"/>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本预案适用于方案批准之日起，至次年方案批准前，处置因极端天气、机组非计划停运、发电天然气供应受限和特高压故障等多种情况下，全省及宿迁市范围内出现的电力供需失衡情况。在迎峰度夏、迎峰度冬前动态修订电力负荷管理预案</w:t>
      </w:r>
      <w:r>
        <w:rPr>
          <w:rFonts w:hint="eastAsia" w:ascii="Times New Roman" w:hAnsi="Times New Roman" w:eastAsia="方正仿宋_GBK" w:cs="Times New Roman"/>
          <w:color w:val="auto"/>
          <w:sz w:val="32"/>
          <w:szCs w:val="32"/>
          <w:highlight w:val="none"/>
          <w:lang w:eastAsia="zh-CN"/>
        </w:rPr>
        <w:t>，在</w:t>
      </w:r>
      <w:r>
        <w:rPr>
          <w:rFonts w:hint="default" w:ascii="Times New Roman" w:hAnsi="Times New Roman" w:eastAsia="方正仿宋_GBK" w:cs="Times New Roman"/>
          <w:color w:val="auto"/>
          <w:sz w:val="32"/>
          <w:szCs w:val="32"/>
          <w:highlight w:val="none"/>
        </w:rPr>
        <w:t>其他因素导致宿迁地区供需平衡发生重大变化时，将及时调整预案。</w:t>
      </w:r>
    </w:p>
    <w:p>
      <w:pPr>
        <w:pStyle w:val="5"/>
        <w:ind w:firstLine="640"/>
        <w:rPr>
          <w:rFonts w:hint="default" w:ascii="Times New Roman" w:hAnsi="Times New Roman" w:eastAsia="方正仿宋_GBK" w:cs="Times New Roman"/>
          <w:color w:val="auto"/>
          <w:sz w:val="32"/>
          <w:szCs w:val="32"/>
          <w:highlight w:val="none"/>
        </w:rPr>
      </w:pPr>
      <w:bookmarkStart w:id="26" w:name="_Toc27962"/>
      <w:bookmarkStart w:id="27" w:name="_Toc19785"/>
      <w:bookmarkStart w:id="28" w:name="_Toc20743"/>
      <w:bookmarkStart w:id="29" w:name="_Toc26662"/>
      <w:bookmarkStart w:id="30" w:name="_Toc16274"/>
      <w:bookmarkStart w:id="31" w:name="_Toc10191"/>
      <w:bookmarkStart w:id="32" w:name="_Toc317170147"/>
      <w:bookmarkStart w:id="33" w:name="_Toc22003"/>
      <w:r>
        <w:rPr>
          <w:rFonts w:hint="default" w:ascii="Times New Roman" w:hAnsi="Times New Roman" w:eastAsia="方正仿宋_GBK" w:cs="Times New Roman"/>
          <w:color w:val="auto"/>
          <w:sz w:val="32"/>
          <w:szCs w:val="32"/>
          <w:highlight w:val="none"/>
        </w:rPr>
        <w:t>1.3  工作原则</w:t>
      </w:r>
      <w:bookmarkEnd w:id="26"/>
      <w:bookmarkEnd w:id="27"/>
      <w:bookmarkEnd w:id="28"/>
      <w:bookmarkEnd w:id="29"/>
      <w:bookmarkEnd w:id="30"/>
      <w:bookmarkEnd w:id="31"/>
      <w:bookmarkEnd w:id="32"/>
      <w:bookmarkEnd w:id="33"/>
    </w:p>
    <w:p>
      <w:pPr>
        <w:adjustRightInd w:val="0"/>
        <w:snapToGrid w:val="0"/>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面对电力供需“紧平衡”总体态势，电力负荷管理工作应积极服务于省市“六稳”、“六保”的工作大局，确保电网安全稳定运行，维护全社会用电秩序平稳，为加快我市“四化”同步集成改革示范区建设步伐，为谱写“强富美高”新宿迁现代化建设新篇章做出更大贡献。</w:t>
      </w:r>
    </w:p>
    <w:p>
      <w:pPr>
        <w:adjustRightInd w:val="0"/>
        <w:snapToGrid w:val="0"/>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b/>
          <w:bCs/>
          <w:color w:val="auto"/>
          <w:sz w:val="32"/>
          <w:szCs w:val="32"/>
          <w:highlight w:val="none"/>
        </w:rPr>
        <w:t>一是坚持安全有序原则。</w:t>
      </w:r>
      <w:r>
        <w:rPr>
          <w:rFonts w:hint="default" w:ascii="Times New Roman" w:hAnsi="Times New Roman" w:eastAsia="方正仿宋_GBK" w:cs="Times New Roman"/>
          <w:color w:val="auto"/>
          <w:sz w:val="32"/>
          <w:szCs w:val="32"/>
          <w:highlight w:val="none"/>
        </w:rPr>
        <w:t>以保障电网稳定运行和供用电秩序平稳为基础，牢牢把握宿迁“改革创新先行区、长三角先进制造业基地”城市定位，更好地</w:t>
      </w:r>
      <w:r>
        <w:rPr>
          <w:rFonts w:hint="eastAsia" w:ascii="Times New Roman" w:hAnsi="Times New Roman" w:eastAsia="方正仿宋_GBK" w:cs="Times New Roman"/>
          <w:color w:val="auto"/>
          <w:sz w:val="32"/>
          <w:szCs w:val="32"/>
          <w:highlight w:val="none"/>
          <w:lang w:eastAsia="zh-CN"/>
        </w:rPr>
        <w:t>统筹发展和安全</w:t>
      </w:r>
      <w:r>
        <w:rPr>
          <w:rFonts w:hint="default" w:ascii="Times New Roman" w:hAnsi="Times New Roman" w:eastAsia="方正仿宋_GBK" w:cs="Times New Roman"/>
          <w:color w:val="auto"/>
          <w:sz w:val="32"/>
          <w:szCs w:val="32"/>
          <w:highlight w:val="none"/>
        </w:rPr>
        <w:t>，以高质量的能源要素支撑全市经济运行率先整体好转，坚决守住民生用电底线。</w:t>
      </w:r>
    </w:p>
    <w:p>
      <w:pPr>
        <w:adjustRightInd w:val="0"/>
        <w:snapToGrid w:val="0"/>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b/>
          <w:bCs/>
          <w:color w:val="auto"/>
          <w:sz w:val="32"/>
          <w:szCs w:val="32"/>
          <w:highlight w:val="none"/>
        </w:rPr>
        <w:t>二是坚持市场主导原则。</w:t>
      </w:r>
      <w:r>
        <w:rPr>
          <w:rFonts w:hint="default" w:ascii="Times New Roman" w:hAnsi="Times New Roman" w:eastAsia="方正仿宋_GBK" w:cs="Times New Roman"/>
          <w:color w:val="auto"/>
          <w:sz w:val="32"/>
          <w:szCs w:val="32"/>
          <w:highlight w:val="none"/>
        </w:rPr>
        <w:t>充分发挥市场在资源配置中的决定性作用，促进要素资源有序流动、高效配置，引导电力用户</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虚拟电厂及微电网等市场主体</w:t>
      </w:r>
      <w:r>
        <w:rPr>
          <w:rFonts w:hint="default" w:ascii="Times New Roman" w:hAnsi="Times New Roman" w:eastAsia="方正仿宋_GBK" w:cs="Times New Roman"/>
          <w:color w:val="auto"/>
          <w:sz w:val="32"/>
          <w:szCs w:val="32"/>
          <w:highlight w:val="none"/>
        </w:rPr>
        <w:t>主动削峰填谷。在出现电力缺口时，坚持将需求响应作为负荷管理的前置手段，充分利用市场化的方式缓解供需矛盾，有序用电</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lang w:val="en-US" w:eastAsia="zh-CN"/>
        </w:rPr>
        <w:t>负荷控制</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作为保底手段，最大程度减少对企业生产经营的影响，实现社会效益与经济效益的双赢。</w:t>
      </w:r>
    </w:p>
    <w:p>
      <w:pPr>
        <w:adjustRightInd w:val="0"/>
        <w:snapToGrid w:val="0"/>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b/>
          <w:bCs/>
          <w:color w:val="auto"/>
          <w:sz w:val="32"/>
          <w:szCs w:val="32"/>
          <w:highlight w:val="none"/>
        </w:rPr>
        <w:t>三是坚持有保有限原则。</w:t>
      </w:r>
      <w:r>
        <w:rPr>
          <w:rFonts w:hint="default" w:ascii="Times New Roman" w:hAnsi="Times New Roman" w:eastAsia="方正仿宋_GBK" w:cs="Times New Roman"/>
          <w:color w:val="auto"/>
          <w:sz w:val="32"/>
          <w:szCs w:val="32"/>
          <w:highlight w:val="none"/>
        </w:rPr>
        <w:t>优先保障居民生活用电、农业、重要公用事业和公益服务用电，压限不合理用电需求，严格控制高耗能、高排放企业和产能过剩行业用电，合理保障先进产能企业用电，促进地区产业结构调整和节能减排。坚持“保供稳链”，将对产业链涉及企业进行分级分类管理，保障宿迁地区高端纺织业、光伏新能源、酿造等产业链上下游企业用电生产整体协同，尽量减少对产业链供应链的影响。</w:t>
      </w:r>
    </w:p>
    <w:p>
      <w:pPr>
        <w:adjustRightInd w:val="0"/>
        <w:snapToGrid w:val="0"/>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b/>
          <w:bCs/>
          <w:color w:val="auto"/>
          <w:sz w:val="32"/>
          <w:szCs w:val="32"/>
          <w:highlight w:val="none"/>
        </w:rPr>
        <w:t>四是坚持灵活高效原则。</w:t>
      </w:r>
      <w:r>
        <w:rPr>
          <w:rFonts w:hint="default" w:ascii="Times New Roman" w:hAnsi="Times New Roman" w:eastAsia="方正仿宋_GBK" w:cs="Times New Roman"/>
          <w:color w:val="auto"/>
          <w:sz w:val="32"/>
          <w:szCs w:val="32"/>
          <w:highlight w:val="none"/>
        </w:rPr>
        <w:t>深度挖潜非工业用户负荷精准调控潜力，最大限度减少电力缺口对企业生产和社会经济的影响，营造社会责任共担的良好氛围，维护全社会供用电秩序平稳有序。在出现电力缺口时及时启动方案，有效控制用电需求，在电力缺口缓解后快速通知和帮助相关用户恢复用电。通过负荷管理系统远程控制及分路负荷控制功能，提高应急反应速度，建立快速响应机制，实现对负荷的迅速控制和释放。</w:t>
      </w:r>
    </w:p>
    <w:p>
      <w:pPr>
        <w:adjustRightInd w:val="0"/>
        <w:snapToGrid w:val="0"/>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b/>
          <w:bCs/>
          <w:color w:val="auto"/>
          <w:sz w:val="32"/>
          <w:szCs w:val="32"/>
          <w:highlight w:val="none"/>
        </w:rPr>
        <w:t>五是坚持属地负责、分区管理原则。</w:t>
      </w:r>
      <w:r>
        <w:rPr>
          <w:rFonts w:hint="default" w:ascii="Times New Roman" w:hAnsi="Times New Roman" w:eastAsia="方正仿宋_GBK" w:cs="Times New Roman"/>
          <w:color w:val="auto"/>
          <w:sz w:val="32"/>
          <w:szCs w:val="32"/>
          <w:highlight w:val="none"/>
        </w:rPr>
        <w:t>坚持统一管理和区域管理相结合，根据省发改委下达的电力负荷管理指标在各县（市、区）、增量配售电公司中按比例分解，各地根据具体情况、用电性质制定相应的应急措施，制定全市高耗能行业负荷管理方案、其他工业企业精准调控方案、非工业用户柔性调控方案。方案的实施由市电力负荷管理中心统一发布预警等级和错峰指令，各地根据指令自行启动方案，迅速落实应急指标，确保方案实施有效。</w:t>
      </w:r>
    </w:p>
    <w:p>
      <w:pPr>
        <w:adjustRightInd w:val="0"/>
        <w:snapToGrid w:val="0"/>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b/>
          <w:bCs/>
          <w:color w:val="auto"/>
          <w:sz w:val="32"/>
          <w:szCs w:val="32"/>
          <w:highlight w:val="none"/>
        </w:rPr>
        <w:t>六是坚持分级管理、分级预警原则。</w:t>
      </w:r>
      <w:r>
        <w:rPr>
          <w:rFonts w:hint="default" w:ascii="Times New Roman" w:hAnsi="Times New Roman" w:eastAsia="方正仿宋_GBK" w:cs="Times New Roman"/>
          <w:color w:val="auto"/>
          <w:sz w:val="32"/>
          <w:szCs w:val="32"/>
          <w:highlight w:val="none"/>
        </w:rPr>
        <w:t>在电力供应紧张时，按照电力</w:t>
      </w:r>
      <w:r>
        <w:rPr>
          <w:rFonts w:hint="default" w:ascii="Times New Roman" w:hAnsi="Times New Roman" w:eastAsia="方正仿宋_GBK" w:cs="Times New Roman"/>
          <w:color w:val="auto"/>
          <w:sz w:val="32"/>
          <w:szCs w:val="32"/>
          <w:highlight w:val="none"/>
          <w:lang w:eastAsia="zh-Hans"/>
        </w:rPr>
        <w:t>或者电量</w:t>
      </w:r>
      <w:r>
        <w:rPr>
          <w:rFonts w:hint="default" w:ascii="Times New Roman" w:hAnsi="Times New Roman" w:eastAsia="方正仿宋_GBK" w:cs="Times New Roman"/>
          <w:color w:val="auto"/>
          <w:sz w:val="32"/>
          <w:szCs w:val="32"/>
          <w:highlight w:val="none"/>
        </w:rPr>
        <w:t>缺口占当期最大用电需求比例的不同，预警信号分为</w:t>
      </w:r>
      <w:r>
        <w:rPr>
          <w:rFonts w:hint="default" w:ascii="Times New Roman" w:hAnsi="Times New Roman" w:eastAsia="方正仿宋_GBK" w:cs="Times New Roman"/>
          <w:color w:val="auto"/>
          <w:sz w:val="32"/>
          <w:szCs w:val="32"/>
          <w:highlight w:val="none"/>
          <w:lang w:val="en-US" w:eastAsia="zh-CN"/>
        </w:rPr>
        <w:t>六</w:t>
      </w:r>
      <w:r>
        <w:rPr>
          <w:rFonts w:hint="default" w:ascii="Times New Roman" w:hAnsi="Times New Roman" w:eastAsia="方正仿宋_GBK" w:cs="Times New Roman"/>
          <w:color w:val="auto"/>
          <w:sz w:val="32"/>
          <w:szCs w:val="32"/>
          <w:highlight w:val="none"/>
        </w:rPr>
        <w:t>个等级，电力运行主管部门和电网公司应及时向社会发布预警信息。</w:t>
      </w:r>
    </w:p>
    <w:p>
      <w:pPr>
        <w:adjustRightInd w:val="0"/>
        <w:snapToGrid w:val="0"/>
        <w:ind w:firstLine="640"/>
        <w:rPr>
          <w:rFonts w:hint="default"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lang w:val="en-US" w:eastAsia="zh-CN"/>
        </w:rPr>
        <w:t>Ⅵ级</w:t>
      </w:r>
      <w:r>
        <w:rPr>
          <w:rFonts w:hint="default" w:ascii="Times New Roman" w:hAnsi="Times New Roman" w:eastAsia="方正仿宋_GBK" w:cs="Times New Roman"/>
          <w:color w:val="auto"/>
          <w:sz w:val="32"/>
          <w:szCs w:val="32"/>
          <w:highlight w:val="none"/>
        </w:rPr>
        <w:t>：5%以下；</w:t>
      </w:r>
    </w:p>
    <w:p>
      <w:pPr>
        <w:adjustRightInd w:val="0"/>
        <w:snapToGrid w:val="0"/>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val="en-US" w:eastAsia="zh-CN"/>
        </w:rPr>
        <w:t>V</w:t>
      </w:r>
      <w:r>
        <w:rPr>
          <w:rFonts w:hint="default" w:ascii="Times New Roman" w:hAnsi="Times New Roman" w:eastAsia="方正仿宋_GBK" w:cs="Times New Roman"/>
          <w:color w:val="auto"/>
          <w:sz w:val="32"/>
          <w:szCs w:val="32"/>
          <w:highlight w:val="none"/>
        </w:rPr>
        <w:t>级：5%以上</w:t>
      </w:r>
      <w:r>
        <w:rPr>
          <w:rFonts w:hint="default"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rPr>
        <w:t>10%以下；</w:t>
      </w:r>
    </w:p>
    <w:p>
      <w:pPr>
        <w:adjustRightInd w:val="0"/>
        <w:snapToGrid w:val="0"/>
        <w:ind w:firstLine="640"/>
        <w:rPr>
          <w:rFonts w:hint="default"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lang w:val="en-US" w:eastAsia="zh-CN"/>
        </w:rPr>
        <w:t>Ⅳ级</w:t>
      </w:r>
      <w:r>
        <w:rPr>
          <w:rFonts w:hint="default" w:ascii="Times New Roman" w:hAnsi="Times New Roman" w:eastAsia="方正仿宋_GBK" w:cs="Times New Roman"/>
          <w:color w:val="auto"/>
          <w:sz w:val="32"/>
          <w:szCs w:val="32"/>
          <w:highlight w:val="none"/>
        </w:rPr>
        <w:t>：10%以上</w:t>
      </w:r>
      <w:r>
        <w:rPr>
          <w:rFonts w:hint="default" w:ascii="Times New Roman" w:hAnsi="Times New Roman" w:eastAsia="方正仿宋_GBK" w:cs="Times New Roman"/>
          <w:color w:val="auto"/>
          <w:sz w:val="32"/>
          <w:szCs w:val="32"/>
          <w:highlight w:val="none"/>
          <w:lang w:val="en-US" w:eastAsia="zh-CN"/>
        </w:rPr>
        <w:t>-15</w:t>
      </w:r>
      <w:r>
        <w:rPr>
          <w:rFonts w:hint="default" w:ascii="Times New Roman" w:hAnsi="Times New Roman" w:eastAsia="方正仿宋_GBK" w:cs="Times New Roman"/>
          <w:color w:val="auto"/>
          <w:sz w:val="32"/>
          <w:szCs w:val="32"/>
          <w:highlight w:val="none"/>
        </w:rPr>
        <w:t>%以下；</w:t>
      </w:r>
    </w:p>
    <w:p>
      <w:pPr>
        <w:adjustRightInd w:val="0"/>
        <w:snapToGrid w:val="0"/>
        <w:ind w:firstLine="640"/>
        <w:rPr>
          <w:rFonts w:hint="default" w:ascii="Times New Roman" w:hAnsi="Times New Roman" w:eastAsia="方正仿宋_GBK" w:cs="Times New Roman"/>
          <w:color w:val="auto"/>
          <w:sz w:val="32"/>
          <w:szCs w:val="32"/>
          <w:highlight w:val="none"/>
          <w:lang w:eastAsia="zh-CN"/>
        </w:rPr>
      </w:pPr>
      <w:r>
        <w:rPr>
          <w:rFonts w:hint="default" w:ascii="Times New Roman" w:hAnsi="Times New Roman" w:eastAsia="方正仿宋_GBK" w:cs="Times New Roman"/>
          <w:color w:val="auto"/>
          <w:sz w:val="32"/>
          <w:szCs w:val="32"/>
          <w:highlight w:val="none"/>
        </w:rPr>
        <w:t>Ⅰ</w:t>
      </w:r>
      <w:r>
        <w:rPr>
          <w:rFonts w:hint="eastAsia" w:ascii="Times New Roman" w:hAnsi="Times New Roman" w:eastAsia="方正仿宋_GBK" w:cs="Times New Roman"/>
          <w:color w:val="auto"/>
          <w:sz w:val="32"/>
          <w:szCs w:val="32"/>
          <w:highlight w:val="none"/>
          <w:lang w:eastAsia="zh-CN"/>
        </w:rPr>
        <w:t>Ⅱ级</w:t>
      </w:r>
      <w:r>
        <w:rPr>
          <w:rFonts w:hint="default" w:ascii="Times New Roman" w:hAnsi="Times New Roman" w:eastAsia="方正仿宋_GBK" w:cs="Times New Roman"/>
          <w:color w:val="auto"/>
          <w:sz w:val="32"/>
          <w:szCs w:val="32"/>
          <w:highlight w:val="none"/>
        </w:rPr>
        <w:t>：1</w:t>
      </w:r>
      <w:r>
        <w:rPr>
          <w:rFonts w:hint="default" w:ascii="Times New Roman" w:hAnsi="Times New Roman" w:eastAsia="方正仿宋_GBK" w:cs="Times New Roman"/>
          <w:color w:val="auto"/>
          <w:sz w:val="32"/>
          <w:szCs w:val="32"/>
          <w:highlight w:val="none"/>
          <w:lang w:val="en-US" w:eastAsia="zh-CN"/>
        </w:rPr>
        <w:t>5</w:t>
      </w:r>
      <w:r>
        <w:rPr>
          <w:rFonts w:hint="default" w:ascii="Times New Roman" w:hAnsi="Times New Roman" w:eastAsia="方正仿宋_GBK" w:cs="Times New Roman"/>
          <w:color w:val="auto"/>
          <w:sz w:val="32"/>
          <w:szCs w:val="32"/>
          <w:highlight w:val="none"/>
        </w:rPr>
        <w:t>%以上</w:t>
      </w:r>
      <w:r>
        <w:rPr>
          <w:rFonts w:hint="default"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rPr>
        <w:t>20%以</w:t>
      </w:r>
      <w:bookmarkStart w:id="34" w:name="_Toc135605746"/>
      <w:bookmarkStart w:id="35" w:name="_Toc9759"/>
      <w:bookmarkStart w:id="36" w:name="_Toc32366"/>
      <w:bookmarkStart w:id="37" w:name="_Toc6201"/>
      <w:r>
        <w:rPr>
          <w:rFonts w:hint="default" w:ascii="Times New Roman" w:hAnsi="Times New Roman" w:eastAsia="方正仿宋_GBK" w:cs="Times New Roman"/>
          <w:color w:val="auto"/>
          <w:sz w:val="32"/>
          <w:szCs w:val="32"/>
          <w:highlight w:val="none"/>
          <w:lang w:val="en-US" w:eastAsia="zh-CN"/>
        </w:rPr>
        <w:t>下</w:t>
      </w:r>
      <w:r>
        <w:rPr>
          <w:rFonts w:hint="default" w:ascii="Times New Roman" w:hAnsi="Times New Roman" w:eastAsia="方正仿宋_GBK" w:cs="Times New Roman"/>
          <w:color w:val="auto"/>
          <w:sz w:val="32"/>
          <w:szCs w:val="32"/>
          <w:highlight w:val="none"/>
          <w:lang w:eastAsia="zh-CN"/>
        </w:rPr>
        <w:t>；</w:t>
      </w:r>
    </w:p>
    <w:p>
      <w:pPr>
        <w:adjustRightInd w:val="0"/>
        <w:snapToGrid w:val="0"/>
        <w:ind w:firstLine="640"/>
        <w:rPr>
          <w:rFonts w:hint="default"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Ⅱ级</w:t>
      </w:r>
      <w:r>
        <w:rPr>
          <w:rFonts w:hint="default"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rPr>
        <w:t>20%以上</w:t>
      </w:r>
      <w:r>
        <w:rPr>
          <w:rFonts w:hint="default" w:ascii="Times New Roman" w:hAnsi="Times New Roman" w:eastAsia="方正仿宋_GBK" w:cs="Times New Roman"/>
          <w:color w:val="auto"/>
          <w:sz w:val="32"/>
          <w:szCs w:val="32"/>
          <w:highlight w:val="none"/>
          <w:lang w:val="en-US" w:eastAsia="zh-CN"/>
        </w:rPr>
        <w:t>-25%以下；</w:t>
      </w:r>
    </w:p>
    <w:p>
      <w:pPr>
        <w:adjustRightInd w:val="0"/>
        <w:snapToGrid w:val="0"/>
        <w:ind w:firstLine="64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I级：25%以上-30%以下。</w:t>
      </w:r>
    </w:p>
    <w:p>
      <w:pPr>
        <w:pStyle w:val="3"/>
        <w:keepNext w:val="0"/>
        <w:keepLines w:val="0"/>
        <w:pageBreakBefore w:val="0"/>
        <w:widowControl w:val="0"/>
        <w:numPr>
          <w:ilvl w:val="0"/>
          <w:numId w:val="0"/>
        </w:numPr>
        <w:kinsoku/>
        <w:wordWrap/>
        <w:overflowPunct/>
        <w:topLinePunct w:val="0"/>
        <w:autoSpaceDE/>
        <w:autoSpaceDN/>
        <w:bidi w:val="0"/>
        <w:spacing w:before="0" w:after="0" w:line="500" w:lineRule="exact"/>
        <w:textAlignment w:val="auto"/>
        <w:rPr>
          <w:rFonts w:hint="default" w:ascii="Times New Roman" w:hAnsi="Times New Roman" w:eastAsia="方正黑体简体" w:cs="Times New Roman"/>
          <w:b w:val="0"/>
          <w:color w:val="auto"/>
          <w:kern w:val="2"/>
          <w:sz w:val="32"/>
          <w:highlight w:val="none"/>
        </w:rPr>
      </w:pPr>
      <w:bookmarkStart w:id="38" w:name="_Toc8721"/>
      <w:bookmarkStart w:id="39" w:name="_Toc20684"/>
      <w:r>
        <w:rPr>
          <w:rFonts w:hint="default" w:ascii="Times New Roman" w:hAnsi="Times New Roman" w:eastAsia="方正黑体简体" w:cs="Times New Roman"/>
          <w:b w:val="0"/>
          <w:color w:val="auto"/>
          <w:kern w:val="2"/>
          <w:sz w:val="32"/>
          <w:highlight w:val="none"/>
        </w:rPr>
        <w:br w:type="page"/>
      </w:r>
      <w:r>
        <w:rPr>
          <w:rFonts w:hint="default" w:ascii="Times New Roman" w:hAnsi="Times New Roman" w:eastAsia="方正黑体_GBK" w:cs="Times New Roman"/>
          <w:b w:val="0"/>
          <w:color w:val="auto"/>
          <w:kern w:val="2"/>
          <w:sz w:val="32"/>
          <w:highlight w:val="none"/>
        </w:rPr>
        <w:t>第二章  组织体系</w:t>
      </w:r>
      <w:bookmarkEnd w:id="34"/>
      <w:bookmarkEnd w:id="35"/>
      <w:bookmarkEnd w:id="36"/>
      <w:bookmarkEnd w:id="37"/>
      <w:bookmarkEnd w:id="38"/>
      <w:bookmarkEnd w:id="39"/>
    </w:p>
    <w:p>
      <w:pPr>
        <w:pageBreakBefore w:val="0"/>
        <w:widowControl w:val="0"/>
        <w:kinsoku/>
        <w:wordWrap/>
        <w:overflowPunct/>
        <w:topLinePunct w:val="0"/>
        <w:autoSpaceDE/>
        <w:autoSpaceDN/>
        <w:bidi w:val="0"/>
        <w:adjustRightInd w:val="0"/>
        <w:snapToGrid w:val="0"/>
        <w:spacing w:line="500" w:lineRule="exact"/>
        <w:ind w:firstLine="640"/>
        <w:textAlignment w:val="auto"/>
        <w:rPr>
          <w:rFonts w:hint="default" w:ascii="Times New Roman" w:hAnsi="Times New Roman" w:eastAsia="方正仿宋_GBK" w:cs="Times New Roman"/>
          <w:color w:val="auto"/>
          <w:sz w:val="32"/>
          <w:szCs w:val="32"/>
          <w:highlight w:val="none"/>
        </w:rPr>
      </w:pPr>
    </w:p>
    <w:p>
      <w:pPr>
        <w:pageBreakBefore w:val="0"/>
        <w:widowControl w:val="0"/>
        <w:kinsoku/>
        <w:wordWrap/>
        <w:overflowPunct/>
        <w:topLinePunct w:val="0"/>
        <w:autoSpaceDE/>
        <w:autoSpaceDN/>
        <w:bidi w:val="0"/>
        <w:adjustRightInd w:val="0"/>
        <w:snapToGrid w:val="0"/>
        <w:spacing w:line="50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 xml:space="preserve">为确保电力负荷管理预案公平公正并顺利实施，在原有组织架构和管理网络的基础上，根据当前新的工作要求，进一步建立健全和调整完善电力负荷管理组织体系，充实人员，明确职责，加强协调，规范工作流程，保障电力负荷管理工作取得实效。 </w:t>
      </w:r>
    </w:p>
    <w:p>
      <w:pPr>
        <w:pStyle w:val="5"/>
        <w:pageBreakBefore w:val="0"/>
        <w:widowControl w:val="0"/>
        <w:kinsoku/>
        <w:wordWrap/>
        <w:overflowPunct/>
        <w:topLinePunct w:val="0"/>
        <w:autoSpaceDE/>
        <w:autoSpaceDN/>
        <w:bidi w:val="0"/>
        <w:spacing w:line="500" w:lineRule="exact"/>
        <w:ind w:firstLine="640"/>
        <w:textAlignment w:val="auto"/>
        <w:rPr>
          <w:rFonts w:hint="default" w:ascii="Times New Roman" w:hAnsi="Times New Roman" w:eastAsia="方正仿宋_GBK" w:cs="Times New Roman"/>
          <w:color w:val="auto"/>
          <w:sz w:val="32"/>
          <w:szCs w:val="32"/>
          <w:highlight w:val="none"/>
        </w:rPr>
      </w:pPr>
      <w:bookmarkStart w:id="40" w:name="_Toc28801"/>
      <w:bookmarkStart w:id="41" w:name="_Toc16176"/>
      <w:bookmarkStart w:id="42" w:name="_Toc1785"/>
      <w:bookmarkStart w:id="43" w:name="_Toc25886"/>
      <w:bookmarkStart w:id="44" w:name="_Toc6925"/>
      <w:bookmarkStart w:id="45" w:name="_Toc317170149"/>
      <w:bookmarkStart w:id="46" w:name="_Toc19574"/>
      <w:bookmarkStart w:id="47" w:name="_Toc11813"/>
      <w:r>
        <w:rPr>
          <w:rFonts w:hint="default" w:ascii="Times New Roman" w:hAnsi="Times New Roman" w:eastAsia="方正仿宋_GBK" w:cs="Times New Roman"/>
          <w:color w:val="auto"/>
          <w:sz w:val="32"/>
          <w:szCs w:val="32"/>
          <w:highlight w:val="none"/>
        </w:rPr>
        <w:t>2.1  工作机构</w:t>
      </w:r>
      <w:bookmarkEnd w:id="40"/>
      <w:bookmarkEnd w:id="41"/>
      <w:bookmarkEnd w:id="42"/>
      <w:bookmarkEnd w:id="43"/>
      <w:bookmarkEnd w:id="44"/>
      <w:bookmarkEnd w:id="45"/>
      <w:bookmarkEnd w:id="46"/>
      <w:bookmarkEnd w:id="47"/>
    </w:p>
    <w:p>
      <w:pPr>
        <w:pageBreakBefore w:val="0"/>
        <w:widowControl w:val="0"/>
        <w:kinsoku/>
        <w:wordWrap/>
        <w:overflowPunct/>
        <w:topLinePunct w:val="0"/>
        <w:autoSpaceDE/>
        <w:autoSpaceDN/>
        <w:bidi w:val="0"/>
        <w:spacing w:line="500" w:lineRule="exact"/>
        <w:ind w:firstLine="640"/>
        <w:textAlignment w:val="auto"/>
        <w:rPr>
          <w:rFonts w:hint="default" w:ascii="Times New Roman" w:hAnsi="Times New Roman" w:eastAsia="方正仿宋_GBK" w:cs="Times New Roman"/>
          <w:b/>
          <w:color w:val="auto"/>
          <w:sz w:val="32"/>
          <w:szCs w:val="32"/>
          <w:highlight w:val="none"/>
          <w:lang w:val="en-US" w:eastAsia="zh-CN"/>
        </w:rPr>
      </w:pPr>
      <w:bookmarkStart w:id="48" w:name="_Toc229990698"/>
      <w:r>
        <w:rPr>
          <w:rFonts w:hint="default" w:ascii="Times New Roman" w:hAnsi="Times New Roman" w:eastAsia="方正仿宋_GBK" w:cs="Times New Roman"/>
          <w:b/>
          <w:color w:val="auto"/>
          <w:sz w:val="32"/>
          <w:szCs w:val="32"/>
          <w:highlight w:val="none"/>
        </w:rPr>
        <w:t>1.</w:t>
      </w:r>
      <w:bookmarkEnd w:id="48"/>
      <w:r>
        <w:rPr>
          <w:rFonts w:hint="default" w:ascii="Times New Roman" w:hAnsi="Times New Roman" w:eastAsia="方正仿宋_GBK" w:cs="Times New Roman"/>
          <w:b/>
          <w:color w:val="auto"/>
          <w:sz w:val="32"/>
          <w:szCs w:val="32"/>
          <w:highlight w:val="none"/>
          <w:lang w:val="en-US" w:eastAsia="zh-CN"/>
        </w:rPr>
        <w:t>宿迁市政府部门工作体系</w:t>
      </w:r>
    </w:p>
    <w:p>
      <w:pPr>
        <w:pageBreakBefore w:val="0"/>
        <w:widowControl w:val="0"/>
        <w:kinsoku/>
        <w:wordWrap/>
        <w:overflowPunct/>
        <w:topLinePunct w:val="0"/>
        <w:autoSpaceDE/>
        <w:autoSpaceDN/>
        <w:bidi w:val="0"/>
        <w:adjustRightInd w:val="0"/>
        <w:snapToGrid w:val="0"/>
        <w:spacing w:line="500" w:lineRule="exact"/>
        <w:ind w:firstLine="640"/>
        <w:textAlignment w:val="auto"/>
        <w:rPr>
          <w:rFonts w:hint="default"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lang w:val="en-US" w:eastAsia="zh-CN"/>
        </w:rPr>
        <w:t>在市委、市政府领导下，由市发展改革委会同</w:t>
      </w:r>
      <w:r>
        <w:rPr>
          <w:rFonts w:hint="default" w:ascii="Times New Roman" w:hAnsi="Times New Roman" w:eastAsia="方正仿宋_GBK" w:cs="Times New Roman"/>
          <w:color w:val="auto"/>
          <w:sz w:val="32"/>
          <w:szCs w:val="32"/>
          <w:highlight w:val="none"/>
        </w:rPr>
        <w:t>市纪委、市考核办、市委网信办、市政府新闻办、市工信局、市公安局、市生态环境局、市住建局、市财政局、市城管局、市交通局、市应急管理局、市商务局、市交通运输局、市文广旅局、市气象局、各县区政府及市各开发区（园区、新区）管委会、市供电公司</w:t>
      </w:r>
      <w:r>
        <w:rPr>
          <w:rFonts w:hint="eastAsia" w:ascii="Times New Roman" w:hAnsi="Times New Roman" w:eastAsia="方正仿宋_GBK" w:cs="Times New Roman"/>
          <w:color w:val="auto"/>
          <w:sz w:val="32"/>
          <w:szCs w:val="32"/>
          <w:highlight w:val="none"/>
          <w:lang w:val="en-US" w:eastAsia="zh-CN"/>
        </w:rPr>
        <w:t>等部门共同做好电力负荷管理工作</w:t>
      </w:r>
      <w:r>
        <w:rPr>
          <w:rFonts w:hint="default" w:ascii="Times New Roman" w:hAnsi="Times New Roman" w:eastAsia="方正仿宋_GBK" w:cs="Times New Roman"/>
          <w:color w:val="auto"/>
          <w:sz w:val="32"/>
          <w:szCs w:val="32"/>
          <w:highlight w:val="none"/>
        </w:rPr>
        <w:t>。</w:t>
      </w:r>
      <w:r>
        <w:rPr>
          <w:rFonts w:hint="eastAsia" w:ascii="Times New Roman" w:hAnsi="Times New Roman" w:eastAsia="方正仿宋_GBK" w:cs="Times New Roman"/>
          <w:color w:val="auto"/>
          <w:sz w:val="32"/>
          <w:szCs w:val="32"/>
          <w:highlight w:val="none"/>
          <w:lang w:val="en-US" w:eastAsia="zh-CN"/>
        </w:rPr>
        <w:t>电力负荷管理过程中如遇重大问题，第一时间向市委、市政府报告。</w:t>
      </w:r>
      <w:r>
        <w:rPr>
          <w:rFonts w:hint="default" w:ascii="Times New Roman" w:hAnsi="Times New Roman" w:eastAsia="方正仿宋_GBK" w:cs="Times New Roman"/>
          <w:color w:val="auto"/>
          <w:sz w:val="32"/>
          <w:szCs w:val="32"/>
          <w:highlight w:val="none"/>
        </w:rPr>
        <w:t>依据国家发改委</w:t>
      </w:r>
      <w:r>
        <w:rPr>
          <w:rFonts w:hint="default" w:ascii="Times New Roman" w:hAnsi="Times New Roman" w:eastAsia="方正仿宋_GBK" w:cs="Times New Roman"/>
          <w:color w:val="auto"/>
          <w:sz w:val="32"/>
          <w:szCs w:val="32"/>
          <w:highlight w:val="none"/>
          <w:lang w:val="zh-CN"/>
        </w:rPr>
        <w:t>《电力</w:t>
      </w:r>
      <w:r>
        <w:rPr>
          <w:rFonts w:hint="default" w:ascii="Times New Roman" w:hAnsi="Times New Roman" w:eastAsia="方正仿宋_GBK" w:cs="Times New Roman"/>
          <w:color w:val="auto"/>
          <w:sz w:val="32"/>
          <w:szCs w:val="32"/>
          <w:highlight w:val="none"/>
        </w:rPr>
        <w:t>负荷</w:t>
      </w:r>
      <w:r>
        <w:rPr>
          <w:rFonts w:hint="default" w:ascii="Times New Roman" w:hAnsi="Times New Roman" w:eastAsia="方正仿宋_GBK" w:cs="Times New Roman"/>
          <w:color w:val="auto"/>
          <w:sz w:val="32"/>
          <w:szCs w:val="32"/>
          <w:highlight w:val="none"/>
          <w:lang w:val="zh-CN"/>
        </w:rPr>
        <w:t>管理办法（</w:t>
      </w:r>
      <w:r>
        <w:rPr>
          <w:rFonts w:hint="default" w:ascii="Times New Roman" w:hAnsi="Times New Roman" w:eastAsia="方正仿宋_GBK" w:cs="Times New Roman"/>
          <w:color w:val="auto"/>
          <w:sz w:val="32"/>
          <w:szCs w:val="32"/>
          <w:highlight w:val="none"/>
        </w:rPr>
        <w:t>2023年</w:t>
      </w:r>
      <w:r>
        <w:rPr>
          <w:rFonts w:hint="default" w:ascii="Times New Roman" w:hAnsi="Times New Roman" w:eastAsia="方正仿宋_GBK" w:cs="Times New Roman"/>
          <w:color w:val="auto"/>
          <w:sz w:val="32"/>
          <w:szCs w:val="32"/>
          <w:highlight w:val="none"/>
          <w:lang w:val="zh-CN"/>
        </w:rPr>
        <w:t>版）》</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zh-CN"/>
        </w:rPr>
        <w:t>发改运行</w:t>
      </w:r>
      <w:r>
        <w:rPr>
          <w:rFonts w:hint="default" w:ascii="Times New Roman" w:hAnsi="Times New Roman" w:eastAsia="方正仿宋_GBK" w:cs="Times New Roman"/>
          <w:color w:val="auto"/>
          <w:sz w:val="32"/>
          <w:szCs w:val="32"/>
          <w:highlight w:val="none"/>
        </w:rPr>
        <w:t>规〔</w:t>
      </w:r>
      <w:r>
        <w:rPr>
          <w:rFonts w:hint="default" w:ascii="Times New Roman" w:hAnsi="Times New Roman" w:eastAsia="方正仿宋_GBK" w:cs="Times New Roman"/>
          <w:color w:val="auto"/>
          <w:sz w:val="32"/>
          <w:szCs w:val="32"/>
          <w:highlight w:val="none"/>
          <w:lang w:val="zh-CN"/>
        </w:rPr>
        <w:t>202</w:t>
      </w:r>
      <w:r>
        <w:rPr>
          <w:rFonts w:hint="default" w:ascii="Times New Roman" w:hAnsi="Times New Roman" w:eastAsia="方正仿宋_GBK" w:cs="Times New Roman"/>
          <w:color w:val="auto"/>
          <w:sz w:val="32"/>
          <w:szCs w:val="32"/>
          <w:highlight w:val="none"/>
        </w:rPr>
        <w:t>3〕1261</w:t>
      </w:r>
      <w:r>
        <w:rPr>
          <w:rFonts w:hint="default" w:ascii="Times New Roman" w:hAnsi="Times New Roman" w:eastAsia="方正仿宋_GBK" w:cs="Times New Roman"/>
          <w:color w:val="auto"/>
          <w:sz w:val="32"/>
          <w:szCs w:val="32"/>
          <w:highlight w:val="none"/>
          <w:lang w:val="zh-CN"/>
        </w:rPr>
        <w:t>号</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eastAsia="zh-Hans"/>
        </w:rPr>
        <w:t>电力需求侧管理办法（2023年版）》</w:t>
      </w:r>
      <w:r>
        <w:rPr>
          <w:rFonts w:hint="default" w:ascii="Times New Roman" w:hAnsi="Times New Roman" w:eastAsia="方正仿宋_GBK" w:cs="Times New Roman"/>
          <w:color w:val="auto"/>
          <w:sz w:val="32"/>
          <w:szCs w:val="32"/>
          <w:highlight w:val="none"/>
        </w:rPr>
        <w:t>（发改运行规〔2023〕1283号）的规定，市发改委负责全市的电力负荷管理工作，国网宿迁供电公司负责电力负荷管理工作的实施。为了便于做好全市电力负荷管理工作，成立宿迁市电力负荷管理中心</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lang w:val="en-US" w:eastAsia="zh-CN"/>
        </w:rPr>
        <w:t>市虚拟电厂管理中心</w:t>
      </w:r>
      <w:r>
        <w:rPr>
          <w:rFonts w:hint="default" w:ascii="Times New Roman" w:hAnsi="Times New Roman" w:eastAsia="方正仿宋_GBK" w:cs="Times New Roman"/>
          <w:color w:val="auto"/>
          <w:sz w:val="32"/>
          <w:szCs w:val="32"/>
          <w:highlight w:val="none"/>
        </w:rPr>
        <w:t>，市发改委和国网宿迁供电公司采取联合办公的方式，在市电力负荷管理中心负责协调处理全市电力负荷</w:t>
      </w:r>
      <w:r>
        <w:rPr>
          <w:rFonts w:hint="eastAsia" w:ascii="Times New Roman" w:hAnsi="Times New Roman" w:eastAsia="方正仿宋_GBK" w:cs="Times New Roman"/>
          <w:color w:val="auto"/>
          <w:sz w:val="32"/>
          <w:szCs w:val="32"/>
          <w:highlight w:val="none"/>
          <w:lang w:eastAsia="zh-CN"/>
        </w:rPr>
        <w:t>管理</w:t>
      </w:r>
      <w:r>
        <w:rPr>
          <w:rFonts w:hint="default" w:ascii="Times New Roman" w:hAnsi="Times New Roman" w:eastAsia="方正仿宋_GBK" w:cs="Times New Roman"/>
          <w:color w:val="auto"/>
          <w:sz w:val="32"/>
          <w:szCs w:val="32"/>
          <w:highlight w:val="none"/>
        </w:rPr>
        <w:t>工作，办公室设在市供电公司，主任由市发改委分管领导担任，副主任由国网宿迁供电公司分管副总经理担任，成员由各级发改（经发）局、供电公司、增量配电网公司等相关人员组成，具体如下：</w:t>
      </w:r>
    </w:p>
    <w:p>
      <w:pPr>
        <w:pageBreakBefore w:val="0"/>
        <w:widowControl w:val="0"/>
        <w:kinsoku/>
        <w:wordWrap/>
        <w:overflowPunct/>
        <w:topLinePunct w:val="0"/>
        <w:autoSpaceDE/>
        <w:autoSpaceDN/>
        <w:bidi w:val="0"/>
        <w:adjustRightInd w:val="0"/>
        <w:snapToGrid w:val="0"/>
        <w:spacing w:line="50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主  任：潘裕晓  市发展和改革委员会副主任</w:t>
      </w:r>
    </w:p>
    <w:p>
      <w:pPr>
        <w:pageBreakBefore w:val="0"/>
        <w:widowControl w:val="0"/>
        <w:kinsoku/>
        <w:wordWrap/>
        <w:overflowPunct/>
        <w:topLinePunct w:val="0"/>
        <w:autoSpaceDE/>
        <w:autoSpaceDN/>
        <w:bidi w:val="0"/>
        <w:adjustRightInd w:val="0"/>
        <w:snapToGrid w:val="0"/>
        <w:spacing w:line="50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副主任：陈  成  国网宿迁供电公司副总经理</w:t>
      </w:r>
    </w:p>
    <w:p>
      <w:pPr>
        <w:pageBreakBefore w:val="0"/>
        <w:widowControl w:val="0"/>
        <w:kinsoku/>
        <w:wordWrap/>
        <w:overflowPunct/>
        <w:topLinePunct w:val="0"/>
        <w:autoSpaceDE/>
        <w:autoSpaceDN/>
        <w:bidi w:val="0"/>
        <w:adjustRightInd w:val="0"/>
        <w:snapToGrid w:val="0"/>
        <w:spacing w:line="500" w:lineRule="exact"/>
        <w:ind w:firstLine="640"/>
        <w:textAlignment w:val="auto"/>
        <w:rPr>
          <w:rFonts w:hint="default" w:ascii="Times New Roman" w:hAnsi="Times New Roman" w:eastAsia="方正仿宋_GBK" w:cs="Times New Roman"/>
          <w:color w:val="auto"/>
          <w:spacing w:val="-11"/>
          <w:sz w:val="32"/>
          <w:szCs w:val="32"/>
          <w:highlight w:val="none"/>
        </w:rPr>
      </w:pPr>
      <w:r>
        <w:rPr>
          <w:rFonts w:hint="default" w:ascii="Times New Roman" w:hAnsi="Times New Roman" w:eastAsia="方正仿宋_GBK" w:cs="Times New Roman"/>
          <w:color w:val="auto"/>
          <w:spacing w:val="-11"/>
          <w:sz w:val="32"/>
          <w:szCs w:val="32"/>
          <w:highlight w:val="none"/>
        </w:rPr>
        <w:t>成  员：李明昌  市发展和改革委员会经济运行调节处处长</w:t>
      </w:r>
    </w:p>
    <w:p>
      <w:pPr>
        <w:pageBreakBefore w:val="0"/>
        <w:widowControl w:val="0"/>
        <w:kinsoku/>
        <w:wordWrap/>
        <w:overflowPunct/>
        <w:topLinePunct w:val="0"/>
        <w:autoSpaceDE/>
        <w:autoSpaceDN/>
        <w:bidi w:val="0"/>
        <w:adjustRightInd w:val="0"/>
        <w:snapToGrid w:val="0"/>
        <w:spacing w:line="50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 xml:space="preserve">      </w:t>
      </w:r>
      <w:r>
        <w:rPr>
          <w:rFonts w:hint="default" w:ascii="Times New Roman" w:hAnsi="Times New Roman" w:eastAsia="方正仿宋_GBK" w:cs="Times New Roman"/>
          <w:color w:val="auto"/>
          <w:sz w:val="32"/>
          <w:szCs w:val="32"/>
          <w:highlight w:val="none"/>
          <w:lang w:eastAsia="zh-CN"/>
        </w:rPr>
        <w:t>王鹏翔</w:t>
      </w:r>
      <w:r>
        <w:rPr>
          <w:rFonts w:hint="default" w:ascii="Times New Roman" w:hAnsi="Times New Roman" w:eastAsia="方正仿宋_GBK" w:cs="Times New Roman"/>
          <w:color w:val="auto"/>
          <w:sz w:val="32"/>
          <w:szCs w:val="32"/>
          <w:highlight w:val="none"/>
        </w:rPr>
        <w:t xml:space="preserve">  国网宿迁供电公司市场营销部主任</w:t>
      </w:r>
    </w:p>
    <w:p>
      <w:pPr>
        <w:pageBreakBefore w:val="0"/>
        <w:widowControl w:val="0"/>
        <w:kinsoku/>
        <w:wordWrap/>
        <w:overflowPunct/>
        <w:topLinePunct w:val="0"/>
        <w:autoSpaceDE/>
        <w:autoSpaceDN/>
        <w:bidi w:val="0"/>
        <w:adjustRightInd w:val="0"/>
        <w:snapToGrid w:val="0"/>
        <w:spacing w:line="50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 xml:space="preserve">      纪文龙  沭阳县发改局局长</w:t>
      </w:r>
    </w:p>
    <w:p>
      <w:pPr>
        <w:pageBreakBefore w:val="0"/>
        <w:widowControl w:val="0"/>
        <w:kinsoku/>
        <w:wordWrap/>
        <w:overflowPunct/>
        <w:topLinePunct w:val="0"/>
        <w:autoSpaceDE/>
        <w:autoSpaceDN/>
        <w:bidi w:val="0"/>
        <w:adjustRightInd w:val="0"/>
        <w:snapToGrid w:val="0"/>
        <w:spacing w:line="500" w:lineRule="exact"/>
        <w:ind w:left="0" w:leftChars="0" w:firstLine="1600" w:firstLineChars="5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val="en-US" w:eastAsia="zh-CN"/>
        </w:rPr>
        <w:t>郑  勇</w:t>
      </w:r>
      <w:r>
        <w:rPr>
          <w:rFonts w:hint="default" w:ascii="Times New Roman" w:hAnsi="Times New Roman" w:eastAsia="方正仿宋_GBK" w:cs="Times New Roman"/>
          <w:color w:val="auto"/>
          <w:sz w:val="32"/>
          <w:szCs w:val="32"/>
          <w:highlight w:val="none"/>
        </w:rPr>
        <w:t xml:space="preserve"> </w:t>
      </w:r>
      <w:r>
        <w:rPr>
          <w:rFonts w:hint="default" w:ascii="Times New Roman" w:hAnsi="Times New Roman" w:eastAsia="方正仿宋_GBK" w:cs="Times New Roman"/>
          <w:color w:val="auto"/>
          <w:sz w:val="32"/>
          <w:szCs w:val="32"/>
          <w:highlight w:val="none"/>
          <w:lang w:val="en-US" w:eastAsia="zh-CN"/>
        </w:rPr>
        <w:t xml:space="preserve"> </w:t>
      </w:r>
      <w:r>
        <w:rPr>
          <w:rFonts w:hint="default" w:ascii="Times New Roman" w:hAnsi="Times New Roman" w:eastAsia="方正仿宋_GBK" w:cs="Times New Roman"/>
          <w:color w:val="auto"/>
          <w:sz w:val="32"/>
          <w:szCs w:val="32"/>
          <w:highlight w:val="none"/>
        </w:rPr>
        <w:t>沭阳县发改局副局长</w:t>
      </w:r>
    </w:p>
    <w:p>
      <w:pPr>
        <w:pageBreakBefore w:val="0"/>
        <w:widowControl w:val="0"/>
        <w:kinsoku/>
        <w:wordWrap/>
        <w:overflowPunct/>
        <w:topLinePunct w:val="0"/>
        <w:autoSpaceDE/>
        <w:autoSpaceDN/>
        <w:bidi w:val="0"/>
        <w:adjustRightInd w:val="0"/>
        <w:snapToGrid w:val="0"/>
        <w:spacing w:line="500" w:lineRule="exact"/>
        <w:ind w:left="0" w:leftChars="0" w:firstLine="1600" w:firstLineChars="5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陈小勇  泗阳县发改局局长</w:t>
      </w:r>
    </w:p>
    <w:p>
      <w:pPr>
        <w:pageBreakBefore w:val="0"/>
        <w:widowControl w:val="0"/>
        <w:kinsoku/>
        <w:wordWrap/>
        <w:overflowPunct/>
        <w:topLinePunct w:val="0"/>
        <w:autoSpaceDE/>
        <w:autoSpaceDN/>
        <w:bidi w:val="0"/>
        <w:adjustRightInd w:val="0"/>
        <w:snapToGrid w:val="0"/>
        <w:spacing w:line="500" w:lineRule="exact"/>
        <w:ind w:firstLine="1600" w:firstLineChars="5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刘金阳  泗阳县发改局副局长</w:t>
      </w:r>
    </w:p>
    <w:p>
      <w:pPr>
        <w:pageBreakBefore w:val="0"/>
        <w:widowControl w:val="0"/>
        <w:kinsoku/>
        <w:wordWrap/>
        <w:overflowPunct/>
        <w:topLinePunct w:val="0"/>
        <w:autoSpaceDE/>
        <w:autoSpaceDN/>
        <w:bidi w:val="0"/>
        <w:adjustRightInd w:val="0"/>
        <w:snapToGrid w:val="0"/>
        <w:spacing w:line="500" w:lineRule="exact"/>
        <w:ind w:firstLine="1600" w:firstLineChars="5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王廷健  泗洪县发改局局长</w:t>
      </w:r>
    </w:p>
    <w:p>
      <w:pPr>
        <w:pageBreakBefore w:val="0"/>
        <w:widowControl w:val="0"/>
        <w:kinsoku/>
        <w:wordWrap/>
        <w:overflowPunct/>
        <w:topLinePunct w:val="0"/>
        <w:autoSpaceDE/>
        <w:autoSpaceDN/>
        <w:bidi w:val="0"/>
        <w:adjustRightInd w:val="0"/>
        <w:snapToGrid w:val="0"/>
        <w:spacing w:line="500" w:lineRule="exact"/>
        <w:ind w:firstLine="1600" w:firstLineChars="5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刘贤展  泗洪县发改局副局长</w:t>
      </w:r>
    </w:p>
    <w:p>
      <w:pPr>
        <w:pageBreakBefore w:val="0"/>
        <w:widowControl w:val="0"/>
        <w:kinsoku/>
        <w:wordWrap/>
        <w:overflowPunct/>
        <w:topLinePunct w:val="0"/>
        <w:autoSpaceDE/>
        <w:autoSpaceDN/>
        <w:bidi w:val="0"/>
        <w:adjustRightInd w:val="0"/>
        <w:snapToGrid w:val="0"/>
        <w:spacing w:line="500" w:lineRule="exact"/>
        <w:ind w:firstLine="1600" w:firstLineChars="5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val="en-US" w:eastAsia="zh-CN"/>
        </w:rPr>
        <w:t>徐  建</w:t>
      </w:r>
      <w:r>
        <w:rPr>
          <w:rFonts w:hint="default" w:ascii="Times New Roman" w:hAnsi="Times New Roman" w:eastAsia="方正仿宋_GBK" w:cs="Times New Roman"/>
          <w:color w:val="auto"/>
          <w:sz w:val="32"/>
          <w:szCs w:val="32"/>
          <w:highlight w:val="none"/>
        </w:rPr>
        <w:t xml:space="preserve">  宿城区发改局局长</w:t>
      </w:r>
    </w:p>
    <w:p>
      <w:pPr>
        <w:pageBreakBefore w:val="0"/>
        <w:widowControl w:val="0"/>
        <w:kinsoku/>
        <w:wordWrap/>
        <w:overflowPunct/>
        <w:topLinePunct w:val="0"/>
        <w:autoSpaceDE/>
        <w:autoSpaceDN/>
        <w:bidi w:val="0"/>
        <w:adjustRightInd w:val="0"/>
        <w:snapToGrid w:val="0"/>
        <w:spacing w:line="500" w:lineRule="exact"/>
        <w:ind w:firstLine="1600" w:firstLineChars="500"/>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马  亚</w:t>
      </w:r>
      <w:r>
        <w:rPr>
          <w:rFonts w:hint="default" w:ascii="Times New Roman" w:hAnsi="Times New Roman" w:eastAsia="方正仿宋_GBK" w:cs="Times New Roman"/>
          <w:color w:val="auto"/>
          <w:sz w:val="32"/>
          <w:szCs w:val="32"/>
          <w:highlight w:val="none"/>
        </w:rPr>
        <w:t xml:space="preserve">  宿城区发改局</w:t>
      </w:r>
      <w:r>
        <w:rPr>
          <w:rFonts w:hint="default" w:ascii="Times New Roman" w:hAnsi="Times New Roman" w:eastAsia="方正仿宋_GBK" w:cs="Times New Roman"/>
          <w:color w:val="auto"/>
          <w:sz w:val="32"/>
          <w:szCs w:val="32"/>
          <w:highlight w:val="none"/>
          <w:lang w:val="en-US" w:eastAsia="zh-CN"/>
        </w:rPr>
        <w:t>党组成员、办公室主任</w:t>
      </w:r>
    </w:p>
    <w:p>
      <w:pPr>
        <w:pageBreakBefore w:val="0"/>
        <w:widowControl w:val="0"/>
        <w:kinsoku/>
        <w:wordWrap/>
        <w:overflowPunct/>
        <w:topLinePunct w:val="0"/>
        <w:autoSpaceDE/>
        <w:autoSpaceDN/>
        <w:bidi w:val="0"/>
        <w:adjustRightInd w:val="0"/>
        <w:snapToGrid w:val="0"/>
        <w:spacing w:line="500" w:lineRule="exact"/>
        <w:ind w:firstLine="1600" w:firstLineChars="5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罗  斌  宿豫区发改局局长</w:t>
      </w:r>
    </w:p>
    <w:p>
      <w:pPr>
        <w:pageBreakBefore w:val="0"/>
        <w:widowControl w:val="0"/>
        <w:kinsoku/>
        <w:wordWrap/>
        <w:overflowPunct/>
        <w:topLinePunct w:val="0"/>
        <w:autoSpaceDE/>
        <w:autoSpaceDN/>
        <w:bidi w:val="0"/>
        <w:adjustRightInd w:val="0"/>
        <w:snapToGrid w:val="0"/>
        <w:spacing w:line="500" w:lineRule="exact"/>
        <w:ind w:firstLine="1600" w:firstLineChars="5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张  宝  宿豫区发改局</w:t>
      </w:r>
      <w:r>
        <w:rPr>
          <w:rFonts w:hint="default" w:ascii="Times New Roman" w:hAnsi="Times New Roman" w:eastAsia="方正仿宋_GBK" w:cs="Times New Roman"/>
          <w:color w:val="auto"/>
          <w:sz w:val="32"/>
          <w:szCs w:val="32"/>
          <w:highlight w:val="none"/>
          <w:lang w:val="en-US" w:eastAsia="zh-CN"/>
        </w:rPr>
        <w:t>党组书记、</w:t>
      </w:r>
      <w:r>
        <w:rPr>
          <w:rFonts w:hint="default" w:ascii="Times New Roman" w:hAnsi="Times New Roman" w:eastAsia="方正仿宋_GBK" w:cs="Times New Roman"/>
          <w:color w:val="auto"/>
          <w:sz w:val="32"/>
          <w:szCs w:val="32"/>
          <w:highlight w:val="none"/>
        </w:rPr>
        <w:t>副局长</w:t>
      </w:r>
    </w:p>
    <w:p>
      <w:pPr>
        <w:pageBreakBefore w:val="0"/>
        <w:widowControl w:val="0"/>
        <w:kinsoku/>
        <w:wordWrap/>
        <w:overflowPunct/>
        <w:topLinePunct w:val="0"/>
        <w:autoSpaceDE/>
        <w:autoSpaceDN/>
        <w:bidi w:val="0"/>
        <w:adjustRightInd w:val="0"/>
        <w:snapToGrid w:val="0"/>
        <w:spacing w:line="500" w:lineRule="exact"/>
        <w:ind w:firstLine="1600" w:firstLineChars="5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臧  亚  经开区投促局局长</w:t>
      </w:r>
    </w:p>
    <w:p>
      <w:pPr>
        <w:pageBreakBefore w:val="0"/>
        <w:widowControl w:val="0"/>
        <w:kinsoku/>
        <w:wordWrap/>
        <w:overflowPunct/>
        <w:topLinePunct w:val="0"/>
        <w:autoSpaceDE/>
        <w:autoSpaceDN/>
        <w:bidi w:val="0"/>
        <w:adjustRightInd w:val="0"/>
        <w:snapToGrid w:val="0"/>
        <w:spacing w:line="500" w:lineRule="exact"/>
        <w:ind w:firstLine="1600" w:firstLineChars="5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val="en-US" w:eastAsia="zh-CN"/>
        </w:rPr>
        <w:t>王  坚</w:t>
      </w:r>
      <w:r>
        <w:rPr>
          <w:rFonts w:hint="default" w:ascii="Times New Roman" w:hAnsi="Times New Roman" w:eastAsia="方正仿宋_GBK" w:cs="Times New Roman"/>
          <w:color w:val="auto"/>
          <w:sz w:val="32"/>
          <w:szCs w:val="32"/>
          <w:highlight w:val="none"/>
        </w:rPr>
        <w:t xml:space="preserve">  经开区投促局副局长</w:t>
      </w:r>
    </w:p>
    <w:p>
      <w:pPr>
        <w:pageBreakBefore w:val="0"/>
        <w:widowControl w:val="0"/>
        <w:kinsoku/>
        <w:wordWrap/>
        <w:overflowPunct/>
        <w:topLinePunct w:val="0"/>
        <w:autoSpaceDE/>
        <w:autoSpaceDN/>
        <w:bidi w:val="0"/>
        <w:adjustRightInd w:val="0"/>
        <w:snapToGrid w:val="0"/>
        <w:spacing w:line="500" w:lineRule="exact"/>
        <w:ind w:firstLine="1600" w:firstLineChars="5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val="en-US" w:eastAsia="zh-CN"/>
        </w:rPr>
        <w:t>宋</w:t>
      </w:r>
      <w:r>
        <w:rPr>
          <w:rFonts w:hint="default" w:ascii="Times New Roman" w:hAnsi="Times New Roman" w:eastAsia="方正仿宋_GBK" w:cs="Times New Roman"/>
          <w:color w:val="auto"/>
          <w:sz w:val="32"/>
          <w:szCs w:val="32"/>
          <w:highlight w:val="none"/>
        </w:rPr>
        <w:t>宏军  湖滨新区经发局局长</w:t>
      </w:r>
    </w:p>
    <w:p>
      <w:pPr>
        <w:pageBreakBefore w:val="0"/>
        <w:widowControl w:val="0"/>
        <w:kinsoku/>
        <w:wordWrap/>
        <w:overflowPunct/>
        <w:topLinePunct w:val="0"/>
        <w:autoSpaceDE/>
        <w:autoSpaceDN/>
        <w:bidi w:val="0"/>
        <w:adjustRightInd w:val="0"/>
        <w:snapToGrid w:val="0"/>
        <w:spacing w:line="500" w:lineRule="exact"/>
        <w:ind w:firstLine="1600" w:firstLineChars="5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val="en-US" w:eastAsia="zh-CN"/>
        </w:rPr>
        <w:t>王照国</w:t>
      </w:r>
      <w:r>
        <w:rPr>
          <w:rFonts w:hint="default" w:ascii="Times New Roman" w:hAnsi="Times New Roman" w:eastAsia="方正仿宋_GBK" w:cs="Times New Roman"/>
          <w:color w:val="auto"/>
          <w:sz w:val="32"/>
          <w:szCs w:val="32"/>
          <w:highlight w:val="none"/>
        </w:rPr>
        <w:t xml:space="preserve">  湖滨新区经发局副局长</w:t>
      </w:r>
    </w:p>
    <w:p>
      <w:pPr>
        <w:pageBreakBefore w:val="0"/>
        <w:widowControl w:val="0"/>
        <w:kinsoku/>
        <w:wordWrap/>
        <w:overflowPunct/>
        <w:topLinePunct w:val="0"/>
        <w:autoSpaceDE/>
        <w:autoSpaceDN/>
        <w:bidi w:val="0"/>
        <w:adjustRightInd w:val="0"/>
        <w:snapToGrid w:val="0"/>
        <w:spacing w:line="500" w:lineRule="exact"/>
        <w:ind w:firstLine="1600" w:firstLineChars="5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val="en-US" w:eastAsia="zh-CN"/>
        </w:rPr>
        <w:t>晁  威</w:t>
      </w:r>
      <w:r>
        <w:rPr>
          <w:rFonts w:hint="default" w:ascii="Times New Roman" w:hAnsi="Times New Roman" w:eastAsia="方正仿宋_GBK" w:cs="Times New Roman"/>
          <w:color w:val="auto"/>
          <w:sz w:val="32"/>
          <w:szCs w:val="32"/>
          <w:highlight w:val="none"/>
        </w:rPr>
        <w:t xml:space="preserve">  苏宿园区经发局副局长</w:t>
      </w:r>
    </w:p>
    <w:p>
      <w:pPr>
        <w:pageBreakBefore w:val="0"/>
        <w:widowControl w:val="0"/>
        <w:kinsoku/>
        <w:wordWrap/>
        <w:overflowPunct/>
        <w:topLinePunct w:val="0"/>
        <w:autoSpaceDE/>
        <w:autoSpaceDN/>
        <w:bidi w:val="0"/>
        <w:adjustRightInd w:val="0"/>
        <w:snapToGrid w:val="0"/>
        <w:spacing w:line="500" w:lineRule="exact"/>
        <w:ind w:firstLine="1600" w:firstLineChars="5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徐海涛  洋河新区经发局局长</w:t>
      </w:r>
    </w:p>
    <w:p>
      <w:pPr>
        <w:pageBreakBefore w:val="0"/>
        <w:widowControl w:val="0"/>
        <w:kinsoku/>
        <w:wordWrap/>
        <w:overflowPunct/>
        <w:topLinePunct w:val="0"/>
        <w:autoSpaceDE/>
        <w:autoSpaceDN/>
        <w:bidi w:val="0"/>
        <w:adjustRightInd w:val="0"/>
        <w:snapToGrid w:val="0"/>
        <w:spacing w:line="500" w:lineRule="exact"/>
        <w:ind w:firstLine="1600" w:firstLineChars="5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施建军  洋河新区经发局副局长</w:t>
      </w:r>
    </w:p>
    <w:p>
      <w:pPr>
        <w:pageBreakBefore w:val="0"/>
        <w:widowControl w:val="0"/>
        <w:kinsoku/>
        <w:wordWrap/>
        <w:overflowPunct/>
        <w:topLinePunct w:val="0"/>
        <w:autoSpaceDE/>
        <w:autoSpaceDN/>
        <w:bidi w:val="0"/>
        <w:adjustRightInd w:val="0"/>
        <w:snapToGrid w:val="0"/>
        <w:spacing w:line="500" w:lineRule="exact"/>
        <w:ind w:firstLine="1600" w:firstLineChars="5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李  力  国网宿迁供电公司调度控制中心主任</w:t>
      </w:r>
    </w:p>
    <w:p>
      <w:pPr>
        <w:pageBreakBefore w:val="0"/>
        <w:widowControl w:val="0"/>
        <w:kinsoku/>
        <w:wordWrap/>
        <w:overflowPunct/>
        <w:topLinePunct w:val="0"/>
        <w:autoSpaceDE/>
        <w:autoSpaceDN/>
        <w:bidi w:val="0"/>
        <w:adjustRightInd w:val="0"/>
        <w:snapToGrid w:val="0"/>
        <w:spacing w:line="500" w:lineRule="exact"/>
        <w:ind w:firstLine="1540" w:firstLineChars="500"/>
        <w:textAlignment w:val="auto"/>
        <w:rPr>
          <w:rFonts w:hint="default" w:ascii="Times New Roman" w:hAnsi="Times New Roman" w:eastAsia="方正仿宋_GBK" w:cs="Times New Roman"/>
          <w:color w:val="auto"/>
          <w:spacing w:val="-6"/>
          <w:sz w:val="32"/>
          <w:szCs w:val="32"/>
          <w:highlight w:val="none"/>
        </w:rPr>
      </w:pPr>
      <w:r>
        <w:rPr>
          <w:rFonts w:hint="default" w:ascii="Times New Roman" w:hAnsi="Times New Roman" w:eastAsia="方正仿宋_GBK" w:cs="Times New Roman"/>
          <w:color w:val="auto"/>
          <w:spacing w:val="-6"/>
          <w:sz w:val="32"/>
          <w:szCs w:val="32"/>
          <w:highlight w:val="none"/>
        </w:rPr>
        <w:t>吴</w:t>
      </w:r>
      <w:r>
        <w:rPr>
          <w:rFonts w:hint="default" w:ascii="Times New Roman" w:hAnsi="Times New Roman" w:eastAsia="方正仿宋_GBK" w:cs="Times New Roman"/>
          <w:color w:val="auto"/>
          <w:spacing w:val="-6"/>
          <w:sz w:val="32"/>
          <w:szCs w:val="32"/>
          <w:highlight w:val="none"/>
          <w:lang w:val="en-US" w:eastAsia="zh-CN"/>
        </w:rPr>
        <w:t xml:space="preserve">  </w:t>
      </w:r>
      <w:r>
        <w:rPr>
          <w:rFonts w:hint="default" w:ascii="Times New Roman" w:hAnsi="Times New Roman" w:eastAsia="方正仿宋_GBK" w:cs="Times New Roman"/>
          <w:color w:val="auto"/>
          <w:spacing w:val="-6"/>
          <w:sz w:val="32"/>
          <w:szCs w:val="32"/>
          <w:highlight w:val="none"/>
        </w:rPr>
        <w:t>浩  国网宿迁供电公司供电指挥服务中心主任</w:t>
      </w:r>
    </w:p>
    <w:p>
      <w:pPr>
        <w:pageBreakBefore w:val="0"/>
        <w:widowControl w:val="0"/>
        <w:kinsoku/>
        <w:wordWrap/>
        <w:overflowPunct/>
        <w:topLinePunct w:val="0"/>
        <w:autoSpaceDE/>
        <w:autoSpaceDN/>
        <w:bidi w:val="0"/>
        <w:adjustRightInd w:val="0"/>
        <w:snapToGrid w:val="0"/>
        <w:spacing w:line="500" w:lineRule="exact"/>
        <w:ind w:firstLine="1600" w:firstLineChars="5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 xml:space="preserve">赵  </w:t>
      </w:r>
      <w:r>
        <w:rPr>
          <w:rFonts w:hint="default" w:ascii="Times New Roman" w:hAnsi="Times New Roman" w:eastAsia="方正仿宋_GBK" w:cs="Times New Roman"/>
          <w:color w:val="auto"/>
          <w:sz w:val="32"/>
          <w:szCs w:val="32"/>
          <w:highlight w:val="none"/>
          <w:lang w:eastAsia="zh-Hans"/>
        </w:rPr>
        <w:t>健</w:t>
      </w:r>
      <w:r>
        <w:rPr>
          <w:rFonts w:hint="default" w:ascii="Times New Roman" w:hAnsi="Times New Roman" w:eastAsia="方正仿宋_GBK" w:cs="Times New Roman"/>
          <w:color w:val="auto"/>
          <w:sz w:val="32"/>
          <w:szCs w:val="32"/>
          <w:highlight w:val="none"/>
        </w:rPr>
        <w:t xml:space="preserve">  国网沭阳县供电公司总经理</w:t>
      </w:r>
    </w:p>
    <w:p>
      <w:pPr>
        <w:pageBreakBefore w:val="0"/>
        <w:widowControl w:val="0"/>
        <w:kinsoku/>
        <w:wordWrap/>
        <w:overflowPunct/>
        <w:topLinePunct w:val="0"/>
        <w:autoSpaceDE/>
        <w:autoSpaceDN/>
        <w:bidi w:val="0"/>
        <w:adjustRightInd w:val="0"/>
        <w:snapToGrid w:val="0"/>
        <w:spacing w:line="500" w:lineRule="exact"/>
        <w:ind w:firstLine="1600" w:firstLineChars="5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靳  罡  国网沭阳县供电公司副总经理</w:t>
      </w:r>
    </w:p>
    <w:p>
      <w:pPr>
        <w:pageBreakBefore w:val="0"/>
        <w:widowControl w:val="0"/>
        <w:kinsoku/>
        <w:wordWrap/>
        <w:overflowPunct/>
        <w:topLinePunct w:val="0"/>
        <w:autoSpaceDE/>
        <w:autoSpaceDN/>
        <w:bidi w:val="0"/>
        <w:adjustRightInd w:val="0"/>
        <w:snapToGrid w:val="0"/>
        <w:spacing w:line="500" w:lineRule="exact"/>
        <w:ind w:firstLine="1600" w:firstLineChars="5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刘元青  国网泗阳县供电公司总经理</w:t>
      </w:r>
    </w:p>
    <w:p>
      <w:pPr>
        <w:pageBreakBefore w:val="0"/>
        <w:widowControl w:val="0"/>
        <w:kinsoku/>
        <w:wordWrap/>
        <w:overflowPunct/>
        <w:topLinePunct w:val="0"/>
        <w:autoSpaceDE/>
        <w:autoSpaceDN/>
        <w:bidi w:val="0"/>
        <w:adjustRightInd w:val="0"/>
        <w:snapToGrid w:val="0"/>
        <w:spacing w:line="500" w:lineRule="exact"/>
        <w:ind w:firstLine="1600" w:firstLineChars="5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刘  伟  国网泗阳县供电公司副总经理</w:t>
      </w:r>
    </w:p>
    <w:p>
      <w:pPr>
        <w:pageBreakBefore w:val="0"/>
        <w:widowControl w:val="0"/>
        <w:kinsoku/>
        <w:wordWrap/>
        <w:overflowPunct/>
        <w:topLinePunct w:val="0"/>
        <w:autoSpaceDE/>
        <w:autoSpaceDN/>
        <w:bidi w:val="0"/>
        <w:adjustRightInd w:val="0"/>
        <w:snapToGrid w:val="0"/>
        <w:spacing w:line="500" w:lineRule="exact"/>
        <w:ind w:firstLine="1600" w:firstLineChars="5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姜  峰  国网泗洪县供电公司总经理</w:t>
      </w:r>
    </w:p>
    <w:p>
      <w:pPr>
        <w:pageBreakBefore w:val="0"/>
        <w:widowControl w:val="0"/>
        <w:kinsoku/>
        <w:wordWrap/>
        <w:overflowPunct/>
        <w:topLinePunct w:val="0"/>
        <w:autoSpaceDE/>
        <w:autoSpaceDN/>
        <w:bidi w:val="0"/>
        <w:adjustRightInd w:val="0"/>
        <w:snapToGrid w:val="0"/>
        <w:spacing w:line="500" w:lineRule="exact"/>
        <w:ind w:firstLine="1600" w:firstLineChars="5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周  茜  国网泗洪县供电公司副总经理</w:t>
      </w:r>
    </w:p>
    <w:p>
      <w:pPr>
        <w:pageBreakBefore w:val="0"/>
        <w:widowControl w:val="0"/>
        <w:kinsoku/>
        <w:wordWrap/>
        <w:overflowPunct/>
        <w:topLinePunct w:val="0"/>
        <w:autoSpaceDE/>
        <w:autoSpaceDN/>
        <w:bidi w:val="0"/>
        <w:adjustRightInd w:val="0"/>
        <w:snapToGrid w:val="0"/>
        <w:spacing w:line="500" w:lineRule="exact"/>
        <w:ind w:firstLine="1600" w:firstLineChars="5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val="en-US" w:eastAsia="zh-CN"/>
        </w:rPr>
        <w:t>马成瑛</w:t>
      </w:r>
      <w:r>
        <w:rPr>
          <w:rFonts w:hint="default" w:ascii="Times New Roman" w:hAnsi="Times New Roman" w:eastAsia="方正仿宋_GBK" w:cs="Times New Roman"/>
          <w:color w:val="auto"/>
          <w:sz w:val="32"/>
          <w:szCs w:val="32"/>
          <w:highlight w:val="none"/>
        </w:rPr>
        <w:t xml:space="preserve">  国网宿迁供电公司</w:t>
      </w:r>
      <w:r>
        <w:rPr>
          <w:rFonts w:hint="default" w:ascii="Times New Roman" w:hAnsi="Times New Roman" w:eastAsia="方正仿宋_GBK" w:cs="Times New Roman"/>
          <w:color w:val="auto"/>
          <w:sz w:val="32"/>
          <w:szCs w:val="32"/>
          <w:highlight w:val="none"/>
          <w:lang w:eastAsia="zh-CN"/>
        </w:rPr>
        <w:t>营销服务中心</w:t>
      </w:r>
      <w:r>
        <w:rPr>
          <w:rFonts w:hint="default" w:ascii="Times New Roman" w:hAnsi="Times New Roman" w:eastAsia="方正仿宋_GBK" w:cs="Times New Roman"/>
          <w:color w:val="auto"/>
          <w:sz w:val="32"/>
          <w:szCs w:val="32"/>
          <w:highlight w:val="none"/>
        </w:rPr>
        <w:t>主任</w:t>
      </w:r>
    </w:p>
    <w:p>
      <w:pPr>
        <w:pageBreakBefore w:val="0"/>
        <w:widowControl w:val="0"/>
        <w:kinsoku/>
        <w:wordWrap/>
        <w:overflowPunct/>
        <w:topLinePunct w:val="0"/>
        <w:autoSpaceDE/>
        <w:autoSpaceDN/>
        <w:bidi w:val="0"/>
        <w:adjustRightInd w:val="0"/>
        <w:snapToGrid w:val="0"/>
        <w:spacing w:line="500" w:lineRule="exact"/>
        <w:ind w:firstLine="1600" w:firstLineChars="5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黄华峰  国网宿迁供电公司宿城供服中心主任</w:t>
      </w:r>
    </w:p>
    <w:p>
      <w:pPr>
        <w:pageBreakBefore w:val="0"/>
        <w:widowControl w:val="0"/>
        <w:kinsoku/>
        <w:wordWrap/>
        <w:overflowPunct/>
        <w:topLinePunct w:val="0"/>
        <w:autoSpaceDE/>
        <w:autoSpaceDN/>
        <w:bidi w:val="0"/>
        <w:adjustRightInd w:val="0"/>
        <w:snapToGrid w:val="0"/>
        <w:spacing w:line="500" w:lineRule="exact"/>
        <w:ind w:firstLine="1600" w:firstLineChars="500"/>
        <w:textAlignment w:val="auto"/>
        <w:rPr>
          <w:rFonts w:hint="default" w:ascii="Times New Roman" w:hAnsi="Times New Roman" w:eastAsia="方正仿宋_GBK" w:cs="Times New Roman"/>
          <w:color w:val="auto"/>
          <w:spacing w:val="-6"/>
          <w:sz w:val="32"/>
          <w:szCs w:val="32"/>
          <w:highlight w:val="none"/>
        </w:rPr>
      </w:pPr>
      <w:r>
        <w:rPr>
          <w:rFonts w:hint="default" w:ascii="Times New Roman" w:hAnsi="Times New Roman" w:eastAsia="方正仿宋_GBK" w:cs="Times New Roman"/>
          <w:color w:val="auto"/>
          <w:sz w:val="32"/>
          <w:szCs w:val="32"/>
          <w:highlight w:val="none"/>
        </w:rPr>
        <w:t xml:space="preserve">夏海军 </w:t>
      </w:r>
      <w:r>
        <w:rPr>
          <w:rFonts w:hint="default" w:ascii="Times New Roman" w:hAnsi="Times New Roman" w:eastAsia="方正仿宋_GBK" w:cs="Times New Roman"/>
          <w:color w:val="auto"/>
          <w:sz w:val="32"/>
          <w:szCs w:val="32"/>
          <w:highlight w:val="none"/>
          <w:lang w:val="en-US" w:eastAsia="zh-CN"/>
        </w:rPr>
        <w:t xml:space="preserve"> </w:t>
      </w:r>
      <w:r>
        <w:rPr>
          <w:rFonts w:hint="default" w:ascii="Times New Roman" w:hAnsi="Times New Roman" w:eastAsia="方正仿宋_GBK" w:cs="Times New Roman"/>
          <w:color w:val="auto"/>
          <w:spacing w:val="-6"/>
          <w:sz w:val="32"/>
          <w:szCs w:val="32"/>
          <w:highlight w:val="none"/>
        </w:rPr>
        <w:t>国网宿迁供电公司宿城供服中心副主任</w:t>
      </w:r>
    </w:p>
    <w:p>
      <w:pPr>
        <w:pageBreakBefore w:val="0"/>
        <w:widowControl w:val="0"/>
        <w:kinsoku/>
        <w:wordWrap/>
        <w:overflowPunct/>
        <w:topLinePunct w:val="0"/>
        <w:autoSpaceDE/>
        <w:autoSpaceDN/>
        <w:bidi w:val="0"/>
        <w:adjustRightInd w:val="0"/>
        <w:snapToGrid w:val="0"/>
        <w:spacing w:line="500" w:lineRule="exact"/>
        <w:ind w:firstLine="1600" w:firstLineChars="500"/>
        <w:textAlignment w:val="auto"/>
        <w:rPr>
          <w:rFonts w:hint="default"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lang w:val="en-US" w:eastAsia="zh-CN"/>
        </w:rPr>
        <w:t>何新玉</w:t>
      </w:r>
      <w:r>
        <w:rPr>
          <w:rFonts w:hint="default" w:ascii="Times New Roman" w:hAnsi="Times New Roman" w:eastAsia="方正仿宋_GBK" w:cs="Times New Roman"/>
          <w:color w:val="auto"/>
          <w:sz w:val="32"/>
          <w:szCs w:val="32"/>
          <w:highlight w:val="none"/>
        </w:rPr>
        <w:t xml:space="preserve">  国网宿迁供电公司</w:t>
      </w:r>
      <w:r>
        <w:rPr>
          <w:rFonts w:hint="eastAsia" w:ascii="Times New Roman" w:hAnsi="Times New Roman" w:eastAsia="方正仿宋_GBK" w:cs="Times New Roman"/>
          <w:color w:val="auto"/>
          <w:sz w:val="32"/>
          <w:szCs w:val="32"/>
          <w:highlight w:val="none"/>
          <w:lang w:val="en-US" w:eastAsia="zh-CN"/>
        </w:rPr>
        <w:t>宿豫</w:t>
      </w:r>
      <w:r>
        <w:rPr>
          <w:rFonts w:hint="default" w:ascii="Times New Roman" w:hAnsi="Times New Roman" w:eastAsia="方正仿宋_GBK" w:cs="Times New Roman"/>
          <w:color w:val="auto"/>
          <w:sz w:val="32"/>
          <w:szCs w:val="32"/>
          <w:highlight w:val="none"/>
        </w:rPr>
        <w:t>供服中心主任</w:t>
      </w:r>
    </w:p>
    <w:p>
      <w:pPr>
        <w:pageBreakBefore w:val="0"/>
        <w:widowControl w:val="0"/>
        <w:kinsoku/>
        <w:wordWrap/>
        <w:overflowPunct/>
        <w:topLinePunct w:val="0"/>
        <w:autoSpaceDE/>
        <w:autoSpaceDN/>
        <w:bidi w:val="0"/>
        <w:adjustRightInd w:val="0"/>
        <w:snapToGrid w:val="0"/>
        <w:spacing w:line="500" w:lineRule="exact"/>
        <w:ind w:firstLine="1600" w:firstLineChars="500"/>
        <w:textAlignment w:val="auto"/>
        <w:rPr>
          <w:rFonts w:hint="default"/>
          <w:highlight w:val="none"/>
        </w:rPr>
      </w:pPr>
      <w:r>
        <w:rPr>
          <w:rFonts w:hint="eastAsia" w:ascii="Times New Roman" w:hAnsi="Times New Roman" w:eastAsia="方正仿宋_GBK" w:cs="Times New Roman"/>
          <w:color w:val="auto"/>
          <w:sz w:val="32"/>
          <w:szCs w:val="32"/>
          <w:highlight w:val="none"/>
          <w:lang w:val="en-US" w:eastAsia="zh-CN"/>
        </w:rPr>
        <w:t>王思民</w:t>
      </w:r>
      <w:r>
        <w:rPr>
          <w:rFonts w:hint="default" w:ascii="Times New Roman" w:hAnsi="Times New Roman" w:eastAsia="方正仿宋_GBK" w:cs="Times New Roman"/>
          <w:color w:val="auto"/>
          <w:sz w:val="32"/>
          <w:szCs w:val="32"/>
          <w:highlight w:val="none"/>
        </w:rPr>
        <w:t xml:space="preserve"> </w:t>
      </w:r>
      <w:r>
        <w:rPr>
          <w:rFonts w:hint="default" w:ascii="Times New Roman" w:hAnsi="Times New Roman" w:eastAsia="方正仿宋_GBK" w:cs="Times New Roman"/>
          <w:color w:val="auto"/>
          <w:sz w:val="32"/>
          <w:szCs w:val="32"/>
          <w:highlight w:val="none"/>
          <w:lang w:val="en-US" w:eastAsia="zh-CN"/>
        </w:rPr>
        <w:t xml:space="preserve"> </w:t>
      </w:r>
      <w:r>
        <w:rPr>
          <w:rFonts w:hint="default" w:ascii="Times New Roman" w:hAnsi="Times New Roman" w:eastAsia="方正仿宋_GBK" w:cs="Times New Roman"/>
          <w:color w:val="auto"/>
          <w:spacing w:val="-6"/>
          <w:sz w:val="32"/>
          <w:szCs w:val="32"/>
          <w:highlight w:val="none"/>
        </w:rPr>
        <w:t>国网宿迁供电公司</w:t>
      </w:r>
      <w:r>
        <w:rPr>
          <w:rFonts w:hint="eastAsia" w:ascii="Times New Roman" w:hAnsi="Times New Roman" w:eastAsia="方正仿宋_GBK" w:cs="Times New Roman"/>
          <w:color w:val="auto"/>
          <w:spacing w:val="-6"/>
          <w:sz w:val="32"/>
          <w:szCs w:val="32"/>
          <w:highlight w:val="none"/>
          <w:lang w:val="en-US" w:eastAsia="zh-CN"/>
        </w:rPr>
        <w:t>宿豫</w:t>
      </w:r>
      <w:r>
        <w:rPr>
          <w:rFonts w:hint="default" w:ascii="Times New Roman" w:hAnsi="Times New Roman" w:eastAsia="方正仿宋_GBK" w:cs="Times New Roman"/>
          <w:color w:val="auto"/>
          <w:spacing w:val="-6"/>
          <w:sz w:val="32"/>
          <w:szCs w:val="32"/>
          <w:highlight w:val="none"/>
        </w:rPr>
        <w:t>供服中心副主任</w:t>
      </w:r>
    </w:p>
    <w:p>
      <w:pPr>
        <w:pageBreakBefore w:val="0"/>
        <w:widowControl w:val="0"/>
        <w:kinsoku/>
        <w:wordWrap/>
        <w:overflowPunct/>
        <w:topLinePunct w:val="0"/>
        <w:autoSpaceDE/>
        <w:autoSpaceDN/>
        <w:bidi w:val="0"/>
        <w:adjustRightInd w:val="0"/>
        <w:snapToGrid w:val="0"/>
        <w:spacing w:line="500" w:lineRule="exact"/>
        <w:ind w:firstLine="1600" w:firstLineChars="5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val="en-US" w:eastAsia="zh-CN"/>
        </w:rPr>
        <w:t>任庆胜</w:t>
      </w:r>
      <w:r>
        <w:rPr>
          <w:rFonts w:hint="default" w:ascii="Times New Roman" w:hAnsi="Times New Roman" w:eastAsia="方正仿宋_GBK" w:cs="Times New Roman"/>
          <w:color w:val="auto"/>
          <w:sz w:val="32"/>
          <w:szCs w:val="32"/>
          <w:highlight w:val="none"/>
        </w:rPr>
        <w:t xml:space="preserve">  宿迁三新供电服务有限公司总经理</w:t>
      </w:r>
    </w:p>
    <w:p>
      <w:pPr>
        <w:pageBreakBefore w:val="0"/>
        <w:widowControl w:val="0"/>
        <w:kinsoku/>
        <w:wordWrap/>
        <w:overflowPunct/>
        <w:topLinePunct w:val="0"/>
        <w:autoSpaceDE/>
        <w:autoSpaceDN/>
        <w:bidi w:val="0"/>
        <w:adjustRightInd w:val="0"/>
        <w:snapToGrid w:val="0"/>
        <w:spacing w:line="500" w:lineRule="exact"/>
        <w:ind w:firstLine="1600" w:firstLineChars="5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莫海波  宿迁三新供电服务有限公司副总经理</w:t>
      </w:r>
    </w:p>
    <w:p>
      <w:pPr>
        <w:pageBreakBefore w:val="0"/>
        <w:widowControl w:val="0"/>
        <w:kinsoku/>
        <w:wordWrap/>
        <w:overflowPunct/>
        <w:topLinePunct w:val="0"/>
        <w:autoSpaceDE/>
        <w:autoSpaceDN/>
        <w:bidi w:val="0"/>
        <w:adjustRightInd w:val="0"/>
        <w:snapToGrid w:val="0"/>
        <w:spacing w:line="500" w:lineRule="exact"/>
        <w:ind w:firstLine="1600" w:firstLineChars="500"/>
        <w:textAlignment w:val="auto"/>
        <w:rPr>
          <w:rFonts w:hint="default" w:ascii="Times New Roman" w:hAnsi="Times New Roman" w:eastAsia="方正仿宋_GBK" w:cs="Times New Roman"/>
          <w:color w:val="auto"/>
          <w:spacing w:val="-6"/>
          <w:sz w:val="32"/>
          <w:szCs w:val="32"/>
          <w:highlight w:val="none"/>
        </w:rPr>
      </w:pPr>
      <w:r>
        <w:rPr>
          <w:rFonts w:hint="default" w:ascii="Times New Roman" w:hAnsi="Times New Roman" w:eastAsia="方正仿宋_GBK" w:cs="Times New Roman"/>
          <w:color w:val="auto"/>
          <w:sz w:val="32"/>
          <w:szCs w:val="32"/>
          <w:highlight w:val="none"/>
          <w:lang w:eastAsia="zh-CN"/>
        </w:rPr>
        <w:t>陆建峰</w:t>
      </w:r>
      <w:r>
        <w:rPr>
          <w:rFonts w:hint="default" w:ascii="Times New Roman" w:hAnsi="Times New Roman" w:eastAsia="方正仿宋_GBK" w:cs="Times New Roman"/>
          <w:color w:val="auto"/>
          <w:sz w:val="32"/>
          <w:szCs w:val="32"/>
          <w:highlight w:val="none"/>
        </w:rPr>
        <w:t xml:space="preserve">  </w:t>
      </w:r>
      <w:r>
        <w:rPr>
          <w:rFonts w:hint="default" w:ascii="Times New Roman" w:hAnsi="Times New Roman" w:eastAsia="方正仿宋_GBK" w:cs="Times New Roman"/>
          <w:color w:val="auto"/>
          <w:spacing w:val="-6"/>
          <w:sz w:val="32"/>
          <w:szCs w:val="32"/>
          <w:highlight w:val="none"/>
        </w:rPr>
        <w:t>宿迁运河港（含港恒）配售电公司总经理</w:t>
      </w:r>
    </w:p>
    <w:p>
      <w:pPr>
        <w:pageBreakBefore w:val="0"/>
        <w:widowControl w:val="0"/>
        <w:kinsoku/>
        <w:wordWrap/>
        <w:overflowPunct/>
        <w:topLinePunct w:val="0"/>
        <w:autoSpaceDE/>
        <w:autoSpaceDN/>
        <w:bidi w:val="0"/>
        <w:adjustRightInd w:val="0"/>
        <w:snapToGrid w:val="0"/>
        <w:spacing w:line="500" w:lineRule="exact"/>
        <w:ind w:firstLine="1600" w:firstLineChars="500"/>
        <w:textAlignment w:val="auto"/>
        <w:rPr>
          <w:rFonts w:hint="default" w:ascii="Times New Roman" w:hAnsi="Times New Roman" w:eastAsia="方正仿宋_GBK" w:cs="Times New Roman"/>
          <w:color w:val="auto"/>
          <w:spacing w:val="-17"/>
          <w:sz w:val="32"/>
          <w:szCs w:val="32"/>
          <w:highlight w:val="none"/>
          <w:lang w:val="en-US" w:eastAsia="zh-CN"/>
        </w:rPr>
      </w:pPr>
      <w:r>
        <w:rPr>
          <w:rFonts w:hint="default" w:ascii="Times New Roman" w:hAnsi="Times New Roman" w:eastAsia="方正仿宋_GBK" w:cs="Times New Roman"/>
          <w:color w:val="auto"/>
          <w:sz w:val="32"/>
          <w:szCs w:val="32"/>
          <w:highlight w:val="none"/>
        </w:rPr>
        <w:t xml:space="preserve">李林道  </w:t>
      </w:r>
      <w:r>
        <w:rPr>
          <w:rFonts w:hint="default" w:ascii="Times New Roman" w:hAnsi="Times New Roman" w:eastAsia="方正仿宋_GBK" w:cs="Times New Roman"/>
          <w:color w:val="auto"/>
          <w:spacing w:val="-17"/>
          <w:sz w:val="32"/>
          <w:szCs w:val="32"/>
          <w:highlight w:val="none"/>
        </w:rPr>
        <w:t>宿迁运河港（含港恒）配售电公司</w:t>
      </w:r>
      <w:r>
        <w:rPr>
          <w:rFonts w:hint="default" w:ascii="Times New Roman" w:hAnsi="Times New Roman" w:eastAsia="方正仿宋_GBK" w:cs="Times New Roman"/>
          <w:color w:val="auto"/>
          <w:spacing w:val="-17"/>
          <w:sz w:val="32"/>
          <w:szCs w:val="32"/>
          <w:highlight w:val="none"/>
          <w:lang w:val="en-US" w:eastAsia="zh-CN"/>
        </w:rPr>
        <w:t>四级职员</w:t>
      </w:r>
    </w:p>
    <w:p>
      <w:pPr>
        <w:pageBreakBefore w:val="0"/>
        <w:widowControl w:val="0"/>
        <w:kinsoku/>
        <w:wordWrap/>
        <w:overflowPunct/>
        <w:topLinePunct w:val="0"/>
        <w:autoSpaceDE/>
        <w:autoSpaceDN/>
        <w:bidi w:val="0"/>
        <w:adjustRightInd w:val="0"/>
        <w:snapToGrid w:val="0"/>
        <w:spacing w:line="500" w:lineRule="exact"/>
        <w:ind w:firstLine="1600" w:firstLineChars="5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eastAsia="zh"/>
        </w:rPr>
        <w:t>黄国民</w:t>
      </w:r>
      <w:r>
        <w:rPr>
          <w:rFonts w:hint="default" w:ascii="Times New Roman" w:hAnsi="Times New Roman" w:eastAsia="方正仿宋_GBK" w:cs="Times New Roman"/>
          <w:color w:val="auto"/>
          <w:sz w:val="32"/>
          <w:szCs w:val="32"/>
          <w:highlight w:val="none"/>
        </w:rPr>
        <w:t xml:space="preserve">  宿迁东开配售电公司总经理</w:t>
      </w:r>
    </w:p>
    <w:p>
      <w:pPr>
        <w:pageBreakBefore w:val="0"/>
        <w:widowControl w:val="0"/>
        <w:kinsoku/>
        <w:wordWrap/>
        <w:overflowPunct/>
        <w:topLinePunct w:val="0"/>
        <w:autoSpaceDE/>
        <w:autoSpaceDN/>
        <w:bidi w:val="0"/>
        <w:adjustRightInd w:val="0"/>
        <w:snapToGrid w:val="0"/>
        <w:spacing w:line="500" w:lineRule="exact"/>
        <w:ind w:firstLine="1600" w:firstLineChars="5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刘</w:t>
      </w:r>
      <w:r>
        <w:rPr>
          <w:rFonts w:hint="default" w:ascii="Times New Roman" w:hAnsi="Times New Roman" w:eastAsia="方正仿宋_GBK" w:cs="Times New Roman"/>
          <w:color w:val="auto"/>
          <w:sz w:val="32"/>
          <w:szCs w:val="32"/>
          <w:highlight w:val="none"/>
          <w:lang w:val="en-US" w:eastAsia="zh-CN"/>
        </w:rPr>
        <w:t xml:space="preserve">  </w:t>
      </w:r>
      <w:r>
        <w:rPr>
          <w:rFonts w:hint="default" w:ascii="Times New Roman" w:hAnsi="Times New Roman" w:eastAsia="方正仿宋_GBK" w:cs="Times New Roman"/>
          <w:color w:val="auto"/>
          <w:sz w:val="32"/>
          <w:szCs w:val="32"/>
          <w:highlight w:val="none"/>
          <w:lang w:eastAsia="zh"/>
        </w:rPr>
        <w:t>峰</w:t>
      </w:r>
      <w:r>
        <w:rPr>
          <w:rFonts w:hint="default" w:ascii="Times New Roman" w:hAnsi="Times New Roman" w:eastAsia="方正仿宋_GBK" w:cs="Times New Roman"/>
          <w:color w:val="auto"/>
          <w:sz w:val="32"/>
          <w:szCs w:val="32"/>
          <w:highlight w:val="none"/>
        </w:rPr>
        <w:t xml:space="preserve">  宿迁东开配售电公司副总经理</w:t>
      </w:r>
    </w:p>
    <w:p>
      <w:pPr>
        <w:pageBreakBefore w:val="0"/>
        <w:widowControl w:val="0"/>
        <w:kinsoku/>
        <w:wordWrap/>
        <w:overflowPunct/>
        <w:topLinePunct w:val="0"/>
        <w:autoSpaceDE/>
        <w:autoSpaceDN/>
        <w:bidi w:val="0"/>
        <w:spacing w:line="500" w:lineRule="exact"/>
        <w:ind w:firstLine="640"/>
        <w:textAlignment w:val="auto"/>
        <w:rPr>
          <w:rFonts w:hint="default" w:ascii="Times New Roman" w:hAnsi="Times New Roman" w:eastAsia="方正仿宋_GBK" w:cs="Times New Roman"/>
          <w:b/>
          <w:bCs/>
          <w:color w:val="auto"/>
          <w:spacing w:val="-11"/>
          <w:sz w:val="32"/>
          <w:szCs w:val="32"/>
          <w:highlight w:val="none"/>
        </w:rPr>
      </w:pPr>
      <w:r>
        <w:rPr>
          <w:rFonts w:hint="default" w:ascii="Times New Roman" w:hAnsi="Times New Roman" w:eastAsia="方正仿宋_GBK" w:cs="Times New Roman"/>
          <w:b/>
          <w:bCs/>
          <w:color w:val="auto"/>
          <w:spacing w:val="-11"/>
          <w:sz w:val="32"/>
          <w:szCs w:val="32"/>
          <w:highlight w:val="none"/>
        </w:rPr>
        <w:t>2.宿迁供电公司电力负荷管理工作领导小组和工作小组</w:t>
      </w:r>
    </w:p>
    <w:p>
      <w:pPr>
        <w:pageBreakBefore w:val="0"/>
        <w:widowControl w:val="0"/>
        <w:kinsoku/>
        <w:wordWrap/>
        <w:overflowPunct/>
        <w:topLinePunct w:val="0"/>
        <w:autoSpaceDE/>
        <w:autoSpaceDN/>
        <w:bidi w:val="0"/>
        <w:adjustRightInd w:val="0"/>
        <w:snapToGrid w:val="0"/>
        <w:spacing w:line="50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为加强对电力负荷管理工作的领导，确保迎峰度夏</w:t>
      </w:r>
      <w:r>
        <w:rPr>
          <w:rFonts w:hint="default" w:ascii="Times New Roman" w:hAnsi="Times New Roman" w:eastAsia="方正仿宋_GBK" w:cs="Times New Roman"/>
          <w:color w:val="auto"/>
          <w:sz w:val="32"/>
          <w:szCs w:val="32"/>
          <w:highlight w:val="none"/>
          <w:lang w:eastAsia="zh-CN"/>
        </w:rPr>
        <w:t>（冬）</w:t>
      </w:r>
      <w:r>
        <w:rPr>
          <w:rFonts w:hint="default" w:ascii="Times New Roman" w:hAnsi="Times New Roman" w:eastAsia="方正仿宋_GBK" w:cs="Times New Roman"/>
          <w:color w:val="auto"/>
          <w:sz w:val="32"/>
          <w:szCs w:val="32"/>
          <w:highlight w:val="none"/>
        </w:rPr>
        <w:t>期间宿迁电力供应安全、可靠，公司成立 “宿迁供电公司电力负荷管理工作领导小组”，领导小组由公司总经理任组长，生产、营销副总经理任副组长，领导小组成员由设备管理部、</w:t>
      </w:r>
      <w:r>
        <w:rPr>
          <w:rFonts w:hint="default" w:ascii="Times New Roman" w:hAnsi="Times New Roman" w:eastAsia="方正仿宋_GBK" w:cs="Times New Roman"/>
          <w:color w:val="auto"/>
          <w:sz w:val="32"/>
          <w:szCs w:val="32"/>
          <w:highlight w:val="none"/>
          <w:lang w:eastAsia="zh-CN"/>
        </w:rPr>
        <w:t>配网部、</w:t>
      </w:r>
      <w:r>
        <w:rPr>
          <w:rFonts w:hint="default" w:ascii="Times New Roman" w:hAnsi="Times New Roman" w:eastAsia="方正仿宋_GBK" w:cs="Times New Roman"/>
          <w:color w:val="auto"/>
          <w:sz w:val="32"/>
          <w:szCs w:val="32"/>
          <w:highlight w:val="none"/>
        </w:rPr>
        <w:t>营销部、调控中心、办公室等部门负责人、各县公司总经理组成。</w:t>
      </w:r>
    </w:p>
    <w:p>
      <w:pPr>
        <w:pageBreakBefore w:val="0"/>
        <w:widowControl w:val="0"/>
        <w:kinsoku/>
        <w:wordWrap/>
        <w:overflowPunct/>
        <w:topLinePunct w:val="0"/>
        <w:autoSpaceDE/>
        <w:autoSpaceDN/>
        <w:bidi w:val="0"/>
        <w:spacing w:line="500" w:lineRule="exact"/>
        <w:ind w:firstLine="640"/>
        <w:textAlignment w:val="auto"/>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供电公司电力负荷管理领导小组成员名单：</w:t>
      </w:r>
    </w:p>
    <w:p>
      <w:pPr>
        <w:pageBreakBefore w:val="0"/>
        <w:widowControl w:val="0"/>
        <w:kinsoku/>
        <w:wordWrap/>
        <w:overflowPunct/>
        <w:topLinePunct w:val="0"/>
        <w:autoSpaceDE/>
        <w:autoSpaceDN/>
        <w:bidi w:val="0"/>
        <w:adjustRightInd w:val="0"/>
        <w:snapToGrid w:val="0"/>
        <w:spacing w:line="50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组  长：任孝峰</w:t>
      </w:r>
    </w:p>
    <w:p>
      <w:pPr>
        <w:pageBreakBefore w:val="0"/>
        <w:widowControl w:val="0"/>
        <w:kinsoku/>
        <w:wordWrap/>
        <w:overflowPunct/>
        <w:topLinePunct w:val="0"/>
        <w:autoSpaceDE/>
        <w:autoSpaceDN/>
        <w:bidi w:val="0"/>
        <w:adjustRightInd w:val="0"/>
        <w:snapToGrid w:val="0"/>
        <w:spacing w:line="50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副组长：李  勇  陈  成</w:t>
      </w:r>
    </w:p>
    <w:p>
      <w:pPr>
        <w:pageBreakBefore w:val="0"/>
        <w:widowControl w:val="0"/>
        <w:kinsoku/>
        <w:wordWrap/>
        <w:overflowPunct/>
        <w:topLinePunct w:val="0"/>
        <w:autoSpaceDE/>
        <w:autoSpaceDN/>
        <w:bidi w:val="0"/>
        <w:adjustRightInd w:val="0"/>
        <w:snapToGrid w:val="0"/>
        <w:spacing w:line="50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 xml:space="preserve">成  员：马  建  </w:t>
      </w:r>
      <w:r>
        <w:rPr>
          <w:rFonts w:hint="default" w:ascii="Times New Roman" w:hAnsi="Times New Roman" w:eastAsia="方正仿宋_GBK" w:cs="Times New Roman"/>
          <w:color w:val="auto"/>
          <w:sz w:val="32"/>
          <w:szCs w:val="32"/>
          <w:highlight w:val="none"/>
          <w:lang w:eastAsia="zh-CN"/>
        </w:rPr>
        <w:t>王鹏翔</w:t>
      </w:r>
      <w:r>
        <w:rPr>
          <w:rFonts w:hint="default" w:ascii="Times New Roman" w:hAnsi="Times New Roman" w:eastAsia="方正仿宋_GBK" w:cs="Times New Roman"/>
          <w:color w:val="auto"/>
          <w:sz w:val="32"/>
          <w:szCs w:val="32"/>
          <w:highlight w:val="none"/>
        </w:rPr>
        <w:t xml:space="preserve">  李  力  陶  彤  </w:t>
      </w:r>
      <w:r>
        <w:rPr>
          <w:rFonts w:hint="default" w:ascii="Times New Roman" w:hAnsi="Times New Roman" w:eastAsia="方正仿宋_GBK" w:cs="Times New Roman"/>
          <w:color w:val="auto"/>
          <w:sz w:val="32"/>
          <w:szCs w:val="32"/>
          <w:highlight w:val="none"/>
          <w:lang w:val="en-US" w:eastAsia="zh-CN"/>
        </w:rPr>
        <w:t>张  洋</w:t>
      </w:r>
      <w:r>
        <w:rPr>
          <w:rFonts w:hint="default" w:ascii="Times New Roman" w:hAnsi="Times New Roman" w:eastAsia="方正仿宋_GBK" w:cs="Times New Roman"/>
          <w:color w:val="auto"/>
          <w:sz w:val="32"/>
          <w:szCs w:val="32"/>
          <w:highlight w:val="none"/>
        </w:rPr>
        <w:t xml:space="preserve">  </w:t>
      </w:r>
    </w:p>
    <w:p>
      <w:pPr>
        <w:pageBreakBefore w:val="0"/>
        <w:widowControl w:val="0"/>
        <w:kinsoku/>
        <w:wordWrap/>
        <w:overflowPunct/>
        <w:topLinePunct w:val="0"/>
        <w:autoSpaceDE/>
        <w:autoSpaceDN/>
        <w:bidi w:val="0"/>
        <w:adjustRightInd w:val="0"/>
        <w:snapToGrid w:val="0"/>
        <w:spacing w:line="50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 xml:space="preserve">吴  浩  陆建锋  </w:t>
      </w:r>
      <w:r>
        <w:rPr>
          <w:rFonts w:hint="default" w:ascii="Times New Roman" w:hAnsi="Times New Roman" w:eastAsia="方正仿宋_GBK" w:cs="Times New Roman"/>
          <w:color w:val="auto"/>
          <w:sz w:val="32"/>
          <w:szCs w:val="32"/>
          <w:highlight w:val="none"/>
          <w:lang w:val="en-US" w:eastAsia="zh-CN"/>
        </w:rPr>
        <w:t>马成瑛</w:t>
      </w:r>
      <w:r>
        <w:rPr>
          <w:rFonts w:hint="default" w:ascii="Times New Roman" w:hAnsi="Times New Roman" w:eastAsia="方正仿宋_GBK" w:cs="Times New Roman"/>
          <w:color w:val="auto"/>
          <w:sz w:val="32"/>
          <w:szCs w:val="32"/>
          <w:highlight w:val="none"/>
        </w:rPr>
        <w:t xml:space="preserve">  何新玉  周  军  汪明春 </w:t>
      </w:r>
    </w:p>
    <w:p>
      <w:pPr>
        <w:pageBreakBefore w:val="0"/>
        <w:widowControl w:val="0"/>
        <w:kinsoku/>
        <w:wordWrap/>
        <w:overflowPunct/>
        <w:topLinePunct w:val="0"/>
        <w:autoSpaceDE/>
        <w:autoSpaceDN/>
        <w:bidi w:val="0"/>
        <w:adjustRightInd w:val="0"/>
        <w:snapToGrid w:val="0"/>
        <w:spacing w:line="500" w:lineRule="exact"/>
        <w:ind w:firstLine="640"/>
        <w:textAlignment w:val="auto"/>
        <w:rPr>
          <w:rFonts w:hint="default"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val="en-US" w:eastAsia="zh-CN"/>
        </w:rPr>
        <w:t>黄华峰</w:t>
      </w:r>
      <w:r>
        <w:rPr>
          <w:rFonts w:hint="default" w:ascii="Times New Roman" w:hAnsi="Times New Roman" w:eastAsia="方正仿宋_GBK" w:cs="Times New Roman"/>
          <w:color w:val="auto"/>
          <w:sz w:val="32"/>
          <w:szCs w:val="32"/>
          <w:highlight w:val="none"/>
        </w:rPr>
        <w:t xml:space="preserve">  </w:t>
      </w:r>
      <w:r>
        <w:rPr>
          <w:rFonts w:hint="default" w:ascii="Times New Roman" w:hAnsi="Times New Roman" w:eastAsia="方正仿宋_GBK" w:cs="Times New Roman"/>
          <w:color w:val="auto"/>
          <w:sz w:val="32"/>
          <w:szCs w:val="32"/>
          <w:highlight w:val="none"/>
          <w:lang w:eastAsia="zh-CN"/>
        </w:rPr>
        <w:t>赵</w:t>
      </w:r>
      <w:r>
        <w:rPr>
          <w:rFonts w:hint="default" w:ascii="Times New Roman" w:hAnsi="Times New Roman" w:eastAsia="方正仿宋_GBK" w:cs="Times New Roman"/>
          <w:color w:val="auto"/>
          <w:sz w:val="32"/>
          <w:szCs w:val="32"/>
          <w:highlight w:val="none"/>
          <w:lang w:val="en-US" w:eastAsia="zh-CN"/>
        </w:rPr>
        <w:t xml:space="preserve">  </w:t>
      </w:r>
      <w:r>
        <w:rPr>
          <w:rFonts w:hint="default" w:ascii="Times New Roman" w:hAnsi="Times New Roman" w:eastAsia="方正仿宋_GBK" w:cs="Times New Roman"/>
          <w:color w:val="auto"/>
          <w:sz w:val="32"/>
          <w:szCs w:val="32"/>
          <w:highlight w:val="none"/>
          <w:lang w:eastAsia="zh-CN"/>
        </w:rPr>
        <w:t>健</w:t>
      </w:r>
      <w:r>
        <w:rPr>
          <w:rFonts w:hint="default" w:ascii="Times New Roman" w:hAnsi="Times New Roman" w:eastAsia="方正仿宋_GBK" w:cs="Times New Roman"/>
          <w:color w:val="auto"/>
          <w:sz w:val="32"/>
          <w:szCs w:val="32"/>
          <w:highlight w:val="none"/>
        </w:rPr>
        <w:t xml:space="preserve">  </w:t>
      </w:r>
      <w:r>
        <w:rPr>
          <w:rFonts w:hint="default" w:ascii="Times New Roman" w:hAnsi="Times New Roman" w:eastAsia="方正仿宋_GBK" w:cs="Times New Roman"/>
          <w:color w:val="auto"/>
          <w:sz w:val="32"/>
          <w:szCs w:val="32"/>
          <w:highlight w:val="none"/>
          <w:lang w:eastAsia="zh-CN"/>
        </w:rPr>
        <w:t>刘元青</w:t>
      </w:r>
      <w:r>
        <w:rPr>
          <w:rFonts w:hint="default" w:ascii="Times New Roman" w:hAnsi="Times New Roman" w:eastAsia="方正仿宋_GBK" w:cs="Times New Roman"/>
          <w:color w:val="auto"/>
          <w:sz w:val="32"/>
          <w:szCs w:val="32"/>
          <w:highlight w:val="none"/>
        </w:rPr>
        <w:t xml:space="preserve">  </w:t>
      </w:r>
      <w:r>
        <w:rPr>
          <w:rFonts w:hint="default" w:ascii="Times New Roman" w:hAnsi="Times New Roman" w:eastAsia="方正仿宋_GBK" w:cs="Times New Roman"/>
          <w:color w:val="auto"/>
          <w:sz w:val="32"/>
          <w:szCs w:val="32"/>
          <w:highlight w:val="none"/>
          <w:lang w:eastAsia="zh-CN"/>
        </w:rPr>
        <w:t>姜</w:t>
      </w:r>
      <w:r>
        <w:rPr>
          <w:rFonts w:hint="default" w:ascii="Times New Roman" w:hAnsi="Times New Roman" w:eastAsia="方正仿宋_GBK" w:cs="Times New Roman"/>
          <w:color w:val="auto"/>
          <w:sz w:val="32"/>
          <w:szCs w:val="32"/>
          <w:highlight w:val="none"/>
          <w:lang w:val="en-US" w:eastAsia="zh-CN"/>
        </w:rPr>
        <w:t xml:space="preserve">  </w:t>
      </w:r>
      <w:r>
        <w:rPr>
          <w:rFonts w:hint="default" w:ascii="Times New Roman" w:hAnsi="Times New Roman" w:eastAsia="方正仿宋_GBK" w:cs="Times New Roman"/>
          <w:color w:val="auto"/>
          <w:sz w:val="32"/>
          <w:szCs w:val="32"/>
          <w:highlight w:val="none"/>
          <w:lang w:eastAsia="zh-CN"/>
        </w:rPr>
        <w:t>峰</w:t>
      </w:r>
    </w:p>
    <w:p>
      <w:pPr>
        <w:pageBreakBefore w:val="0"/>
        <w:widowControl w:val="0"/>
        <w:kinsoku/>
        <w:wordWrap/>
        <w:overflowPunct/>
        <w:topLinePunct w:val="0"/>
        <w:autoSpaceDE/>
        <w:autoSpaceDN/>
        <w:bidi w:val="0"/>
        <w:adjustRightInd w:val="0"/>
        <w:snapToGrid w:val="0"/>
        <w:spacing w:line="50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宿迁供电公司电力负荷管理领导小组下设办公室，办公地点设在营销部，主任由市供电公司营销部负责人担任，在“宿迁供电公司电力负荷管理领导小组”的领导下，具体负责电力负荷管理的组织协调工作。办公室下设电力负荷管理工作小组，在迎峰度夏（冬）期间建立各部门负责人轮流值班制度，工作人员主要由营销、调度、供指等部门人员组成，负责迎峰度夏（冬）期间电力负荷管理的信息收集、汇总及处理，负责电力负荷全过程管理。</w:t>
      </w:r>
    </w:p>
    <w:p>
      <w:pPr>
        <w:pageBreakBefore w:val="0"/>
        <w:widowControl w:val="0"/>
        <w:kinsoku/>
        <w:wordWrap/>
        <w:overflowPunct/>
        <w:topLinePunct w:val="0"/>
        <w:autoSpaceDE/>
        <w:autoSpaceDN/>
        <w:bidi w:val="0"/>
        <w:spacing w:line="500" w:lineRule="exact"/>
        <w:ind w:firstLine="640"/>
        <w:textAlignment w:val="auto"/>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工作小组成员名单如下：</w:t>
      </w:r>
    </w:p>
    <w:p>
      <w:pPr>
        <w:pageBreakBefore w:val="0"/>
        <w:widowControl w:val="0"/>
        <w:kinsoku/>
        <w:wordWrap/>
        <w:overflowPunct/>
        <w:topLinePunct w:val="0"/>
        <w:autoSpaceDE/>
        <w:autoSpaceDN/>
        <w:bidi w:val="0"/>
        <w:adjustRightInd w:val="0"/>
        <w:snapToGrid w:val="0"/>
        <w:spacing w:line="500" w:lineRule="exact"/>
        <w:ind w:firstLine="640"/>
        <w:textAlignment w:val="auto"/>
        <w:rPr>
          <w:rFonts w:hint="default" w:ascii="Times New Roman" w:hAnsi="Times New Roman" w:eastAsia="方正仿宋_GBK" w:cs="Times New Roman"/>
          <w:color w:val="auto"/>
          <w:sz w:val="32"/>
          <w:szCs w:val="32"/>
          <w:highlight w:val="none"/>
          <w:lang w:eastAsia="zh-CN"/>
        </w:rPr>
      </w:pPr>
      <w:r>
        <w:rPr>
          <w:rFonts w:hint="default" w:ascii="Times New Roman" w:hAnsi="Times New Roman" w:eastAsia="方正仿宋_GBK" w:cs="Times New Roman"/>
          <w:color w:val="auto"/>
          <w:sz w:val="32"/>
          <w:szCs w:val="32"/>
          <w:highlight w:val="none"/>
        </w:rPr>
        <w:t>组  长：</w:t>
      </w:r>
      <w:r>
        <w:rPr>
          <w:rFonts w:hint="default" w:ascii="Times New Roman" w:hAnsi="Times New Roman" w:eastAsia="方正仿宋_GBK" w:cs="Times New Roman"/>
          <w:color w:val="auto"/>
          <w:sz w:val="32"/>
          <w:szCs w:val="32"/>
          <w:highlight w:val="none"/>
          <w:lang w:eastAsia="zh-CN"/>
        </w:rPr>
        <w:t>王鹏翔</w:t>
      </w:r>
    </w:p>
    <w:p>
      <w:pPr>
        <w:pageBreakBefore w:val="0"/>
        <w:widowControl w:val="0"/>
        <w:kinsoku/>
        <w:wordWrap/>
        <w:overflowPunct/>
        <w:topLinePunct w:val="0"/>
        <w:autoSpaceDE/>
        <w:autoSpaceDN/>
        <w:bidi w:val="0"/>
        <w:adjustRightInd w:val="0"/>
        <w:snapToGrid w:val="0"/>
        <w:spacing w:line="50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副组长：</w:t>
      </w:r>
      <w:r>
        <w:rPr>
          <w:rFonts w:hint="default" w:ascii="Times New Roman" w:hAnsi="Times New Roman" w:eastAsia="方正仿宋_GBK" w:cs="Times New Roman"/>
          <w:color w:val="auto"/>
          <w:sz w:val="32"/>
          <w:szCs w:val="32"/>
          <w:highlight w:val="none"/>
          <w:lang w:val="en-US" w:eastAsia="zh-CN"/>
        </w:rPr>
        <w:t>马成瑛</w:t>
      </w:r>
      <w:r>
        <w:rPr>
          <w:rFonts w:hint="default" w:ascii="Times New Roman" w:hAnsi="Times New Roman" w:eastAsia="方正仿宋_GBK" w:cs="Times New Roman"/>
          <w:color w:val="auto"/>
          <w:sz w:val="32"/>
          <w:szCs w:val="32"/>
          <w:highlight w:val="none"/>
        </w:rPr>
        <w:t xml:space="preserve">  周  军  </w:t>
      </w:r>
      <w:r>
        <w:rPr>
          <w:rFonts w:hint="eastAsia" w:ascii="Times New Roman" w:hAnsi="Times New Roman" w:eastAsia="方正仿宋_GBK" w:cs="Times New Roman"/>
          <w:color w:val="auto"/>
          <w:sz w:val="32"/>
          <w:szCs w:val="32"/>
          <w:highlight w:val="none"/>
          <w:lang w:val="en-US" w:eastAsia="zh-CN"/>
        </w:rPr>
        <w:t xml:space="preserve">黄华峰  </w:t>
      </w:r>
      <w:r>
        <w:rPr>
          <w:rFonts w:hint="default" w:ascii="Times New Roman" w:hAnsi="Times New Roman" w:eastAsia="方正仿宋_GBK" w:cs="Times New Roman"/>
          <w:color w:val="auto"/>
          <w:sz w:val="32"/>
          <w:szCs w:val="32"/>
          <w:highlight w:val="none"/>
        </w:rPr>
        <w:t>何新玉</w:t>
      </w:r>
      <w:r>
        <w:rPr>
          <w:rFonts w:hint="eastAsia" w:ascii="Times New Roman" w:hAnsi="Times New Roman" w:eastAsia="方正仿宋_GBK" w:cs="Times New Roman"/>
          <w:color w:val="auto"/>
          <w:sz w:val="32"/>
          <w:szCs w:val="32"/>
          <w:highlight w:val="none"/>
          <w:lang w:val="en-US" w:eastAsia="zh-CN"/>
        </w:rPr>
        <w:t xml:space="preserve">  </w:t>
      </w:r>
      <w:r>
        <w:rPr>
          <w:rFonts w:hint="default" w:ascii="Times New Roman" w:hAnsi="Times New Roman" w:eastAsia="方正仿宋_GBK" w:cs="Times New Roman"/>
          <w:color w:val="auto"/>
          <w:sz w:val="32"/>
          <w:szCs w:val="32"/>
          <w:highlight w:val="none"/>
        </w:rPr>
        <w:t xml:space="preserve">莫海波    </w:t>
      </w:r>
    </w:p>
    <w:p>
      <w:pPr>
        <w:pageBreakBefore w:val="0"/>
        <w:widowControl w:val="0"/>
        <w:kinsoku/>
        <w:wordWrap/>
        <w:overflowPunct/>
        <w:topLinePunct w:val="0"/>
        <w:autoSpaceDE/>
        <w:autoSpaceDN/>
        <w:bidi w:val="0"/>
        <w:adjustRightInd w:val="0"/>
        <w:snapToGrid w:val="0"/>
        <w:spacing w:line="50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eastAsia="zh-Hans"/>
        </w:rPr>
        <w:t>侯小兵</w:t>
      </w:r>
      <w:r>
        <w:rPr>
          <w:rFonts w:hint="default" w:ascii="Times New Roman" w:hAnsi="Times New Roman" w:eastAsia="方正仿宋_GBK" w:cs="Times New Roman"/>
          <w:color w:val="auto"/>
          <w:sz w:val="32"/>
          <w:szCs w:val="32"/>
          <w:highlight w:val="none"/>
        </w:rPr>
        <w:t xml:space="preserve"> </w:t>
      </w:r>
      <w:r>
        <w:rPr>
          <w:rFonts w:hint="eastAsia" w:ascii="Times New Roman" w:hAnsi="Times New Roman" w:eastAsia="方正仿宋_GBK" w:cs="Times New Roman"/>
          <w:color w:val="auto"/>
          <w:sz w:val="32"/>
          <w:szCs w:val="32"/>
          <w:highlight w:val="none"/>
          <w:lang w:val="en-US" w:eastAsia="zh-CN"/>
        </w:rPr>
        <w:t xml:space="preserve"> </w:t>
      </w:r>
      <w:r>
        <w:rPr>
          <w:rFonts w:hint="default" w:ascii="Times New Roman" w:hAnsi="Times New Roman" w:eastAsia="方正仿宋_GBK" w:cs="Times New Roman"/>
          <w:color w:val="auto"/>
          <w:sz w:val="32"/>
          <w:szCs w:val="32"/>
          <w:highlight w:val="none"/>
        </w:rPr>
        <w:t>尹永昌</w:t>
      </w:r>
      <w:r>
        <w:rPr>
          <w:rFonts w:hint="eastAsia" w:ascii="Times New Roman" w:hAnsi="Times New Roman" w:eastAsia="方正仿宋_GBK" w:cs="Times New Roman"/>
          <w:color w:val="auto"/>
          <w:sz w:val="32"/>
          <w:szCs w:val="32"/>
          <w:highlight w:val="none"/>
          <w:lang w:val="en-US" w:eastAsia="zh-CN"/>
        </w:rPr>
        <w:t xml:space="preserve">  </w:t>
      </w:r>
      <w:r>
        <w:rPr>
          <w:rFonts w:hint="default" w:ascii="Times New Roman" w:hAnsi="Times New Roman" w:eastAsia="方正仿宋_GBK" w:cs="Times New Roman"/>
          <w:color w:val="auto"/>
          <w:sz w:val="32"/>
          <w:szCs w:val="32"/>
          <w:highlight w:val="none"/>
          <w:lang w:eastAsia="zh-CN"/>
        </w:rPr>
        <w:t>吕海侠</w:t>
      </w:r>
      <w:r>
        <w:rPr>
          <w:rFonts w:hint="default" w:ascii="Times New Roman" w:hAnsi="Times New Roman" w:eastAsia="方正仿宋_GBK" w:cs="Times New Roman"/>
          <w:color w:val="auto"/>
          <w:sz w:val="32"/>
          <w:szCs w:val="32"/>
          <w:highlight w:val="none"/>
        </w:rPr>
        <w:t xml:space="preserve">  </w:t>
      </w:r>
      <w:r>
        <w:rPr>
          <w:rFonts w:hint="default" w:ascii="Times New Roman" w:hAnsi="Times New Roman" w:eastAsia="方正仿宋_GBK" w:cs="Times New Roman"/>
          <w:color w:val="auto"/>
          <w:sz w:val="32"/>
          <w:szCs w:val="32"/>
          <w:highlight w:val="none"/>
          <w:lang w:eastAsia="zh-CN"/>
        </w:rPr>
        <w:t>肖川凌</w:t>
      </w:r>
      <w:r>
        <w:rPr>
          <w:rFonts w:hint="default" w:ascii="Times New Roman" w:hAnsi="Times New Roman" w:eastAsia="方正仿宋_GBK" w:cs="Times New Roman"/>
          <w:color w:val="auto"/>
          <w:sz w:val="32"/>
          <w:szCs w:val="32"/>
          <w:highlight w:val="none"/>
        </w:rPr>
        <w:t xml:space="preserve">  靳  罡  周  茜   </w:t>
      </w:r>
    </w:p>
    <w:p>
      <w:pPr>
        <w:pageBreakBefore w:val="0"/>
        <w:widowControl w:val="0"/>
        <w:kinsoku/>
        <w:wordWrap/>
        <w:overflowPunct/>
        <w:topLinePunct w:val="0"/>
        <w:autoSpaceDE/>
        <w:autoSpaceDN/>
        <w:bidi w:val="0"/>
        <w:adjustRightInd w:val="0"/>
        <w:snapToGrid w:val="0"/>
        <w:spacing w:line="500" w:lineRule="exact"/>
        <w:ind w:firstLine="640"/>
        <w:textAlignment w:val="auto"/>
        <w:rPr>
          <w:rFonts w:hint="default" w:ascii="Times New Roman" w:hAnsi="Times New Roman" w:eastAsia="方正仿宋_GBK" w:cs="Times New Roman"/>
          <w:color w:val="auto"/>
          <w:sz w:val="32"/>
          <w:szCs w:val="32"/>
          <w:highlight w:val="none"/>
          <w:lang w:val="en-US" w:eastAsia="zh"/>
        </w:rPr>
      </w:pPr>
      <w:r>
        <w:rPr>
          <w:rFonts w:hint="default" w:ascii="Times New Roman" w:hAnsi="Times New Roman" w:eastAsia="方正仿宋_GBK" w:cs="Times New Roman"/>
          <w:color w:val="auto"/>
          <w:sz w:val="32"/>
          <w:szCs w:val="32"/>
          <w:highlight w:val="none"/>
        </w:rPr>
        <w:t xml:space="preserve">刘  伟 </w:t>
      </w:r>
      <w:r>
        <w:rPr>
          <w:rFonts w:hint="eastAsia" w:ascii="Times New Roman" w:hAnsi="Times New Roman" w:eastAsia="方正仿宋_GBK" w:cs="Times New Roman"/>
          <w:color w:val="auto"/>
          <w:sz w:val="32"/>
          <w:szCs w:val="32"/>
          <w:highlight w:val="none"/>
          <w:lang w:val="en-US" w:eastAsia="zh-CN"/>
        </w:rPr>
        <w:t xml:space="preserve"> </w:t>
      </w:r>
      <w:r>
        <w:rPr>
          <w:rFonts w:hint="default" w:ascii="Times New Roman" w:hAnsi="Times New Roman" w:eastAsia="方正仿宋_GBK" w:cs="Times New Roman"/>
          <w:color w:val="auto"/>
          <w:sz w:val="32"/>
          <w:szCs w:val="32"/>
          <w:highlight w:val="none"/>
        </w:rPr>
        <w:t xml:space="preserve">李林道 </w:t>
      </w:r>
      <w:r>
        <w:rPr>
          <w:rFonts w:hint="default" w:ascii="Times New Roman" w:hAnsi="Times New Roman" w:eastAsia="方正仿宋_GBK" w:cs="Times New Roman"/>
          <w:color w:val="auto"/>
          <w:sz w:val="32"/>
          <w:szCs w:val="32"/>
          <w:highlight w:val="none"/>
          <w:lang w:val="en-US" w:eastAsia="zh-CN"/>
        </w:rPr>
        <w:t xml:space="preserve"> </w:t>
      </w:r>
      <w:r>
        <w:rPr>
          <w:rFonts w:hint="default" w:ascii="Times New Roman" w:hAnsi="Times New Roman" w:eastAsia="方正仿宋_GBK" w:cs="Times New Roman"/>
          <w:color w:val="auto"/>
          <w:sz w:val="32"/>
          <w:szCs w:val="32"/>
          <w:highlight w:val="none"/>
          <w:lang w:val="en-US" w:eastAsia="zh"/>
        </w:rPr>
        <w:t>黄国民</w:t>
      </w:r>
    </w:p>
    <w:p>
      <w:pPr>
        <w:pageBreakBefore w:val="0"/>
        <w:widowControl w:val="0"/>
        <w:kinsoku/>
        <w:wordWrap/>
        <w:overflowPunct/>
        <w:topLinePunct w:val="0"/>
        <w:autoSpaceDE/>
        <w:autoSpaceDN/>
        <w:bidi w:val="0"/>
        <w:adjustRightInd w:val="0"/>
        <w:snapToGrid w:val="0"/>
        <w:spacing w:line="50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成  员：王玉华</w:t>
      </w:r>
      <w:r>
        <w:rPr>
          <w:rFonts w:hint="eastAsia" w:ascii="Times New Roman" w:hAnsi="Times New Roman" w:eastAsia="方正仿宋_GBK" w:cs="Times New Roman"/>
          <w:color w:val="auto"/>
          <w:sz w:val="32"/>
          <w:szCs w:val="32"/>
          <w:highlight w:val="none"/>
          <w:lang w:val="en-US" w:eastAsia="zh-CN"/>
        </w:rPr>
        <w:t xml:space="preserve">  </w:t>
      </w:r>
      <w:r>
        <w:rPr>
          <w:rFonts w:hint="default" w:ascii="Times New Roman" w:hAnsi="Times New Roman" w:eastAsia="方正仿宋_GBK" w:cs="Times New Roman"/>
          <w:color w:val="auto"/>
          <w:sz w:val="32"/>
          <w:szCs w:val="32"/>
          <w:highlight w:val="none"/>
        </w:rPr>
        <w:t xml:space="preserve">李红侠  </w:t>
      </w:r>
      <w:r>
        <w:rPr>
          <w:rFonts w:hint="eastAsia" w:ascii="Times New Roman" w:hAnsi="Times New Roman" w:eastAsia="方正仿宋_GBK" w:cs="Times New Roman"/>
          <w:color w:val="auto"/>
          <w:sz w:val="32"/>
          <w:szCs w:val="32"/>
          <w:highlight w:val="none"/>
          <w:lang w:val="en-US" w:eastAsia="zh-CN"/>
        </w:rPr>
        <w:t>叶敬伟</w:t>
      </w:r>
      <w:r>
        <w:rPr>
          <w:rFonts w:hint="default" w:ascii="Times New Roman" w:hAnsi="Times New Roman" w:eastAsia="方正仿宋_GBK" w:cs="Times New Roman"/>
          <w:color w:val="auto"/>
          <w:sz w:val="32"/>
          <w:szCs w:val="32"/>
          <w:highlight w:val="none"/>
        </w:rPr>
        <w:t xml:space="preserve"> </w:t>
      </w:r>
      <w:r>
        <w:rPr>
          <w:rFonts w:hint="eastAsia" w:ascii="Times New Roman" w:hAnsi="Times New Roman" w:eastAsia="方正仿宋_GBK" w:cs="Times New Roman"/>
          <w:color w:val="auto"/>
          <w:sz w:val="32"/>
          <w:szCs w:val="32"/>
          <w:highlight w:val="none"/>
          <w:lang w:val="en-US" w:eastAsia="zh-CN"/>
        </w:rPr>
        <w:t xml:space="preserve"> </w:t>
      </w:r>
      <w:r>
        <w:rPr>
          <w:rFonts w:hint="default" w:ascii="Times New Roman" w:hAnsi="Times New Roman" w:eastAsia="方正仿宋_GBK" w:cs="Times New Roman"/>
          <w:color w:val="auto"/>
          <w:sz w:val="32"/>
          <w:szCs w:val="32"/>
          <w:highlight w:val="none"/>
        </w:rPr>
        <w:t xml:space="preserve">樊  贝  丁  静    </w:t>
      </w:r>
    </w:p>
    <w:p>
      <w:pPr>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赵一飞</w:t>
      </w:r>
      <w:r>
        <w:rPr>
          <w:rFonts w:hint="eastAsia" w:ascii="Times New Roman" w:hAnsi="Times New Roman" w:eastAsia="方正仿宋_GBK" w:cs="Times New Roman"/>
          <w:color w:val="auto"/>
          <w:sz w:val="32"/>
          <w:szCs w:val="32"/>
          <w:highlight w:val="none"/>
          <w:lang w:val="en-US" w:eastAsia="zh-CN"/>
        </w:rPr>
        <w:t xml:space="preserve">  </w:t>
      </w:r>
      <w:r>
        <w:rPr>
          <w:rFonts w:hint="default" w:ascii="Times New Roman" w:hAnsi="Times New Roman" w:eastAsia="方正仿宋_GBK" w:cs="Times New Roman"/>
          <w:color w:val="auto"/>
          <w:sz w:val="32"/>
          <w:szCs w:val="32"/>
          <w:highlight w:val="none"/>
          <w:lang w:val="en-US" w:eastAsia="zh-CN"/>
        </w:rPr>
        <w:t>陆  薇</w:t>
      </w:r>
      <w:r>
        <w:rPr>
          <w:rFonts w:hint="default" w:ascii="Times New Roman" w:hAnsi="Times New Roman" w:eastAsia="方正仿宋_GBK" w:cs="Times New Roman"/>
          <w:color w:val="auto"/>
          <w:sz w:val="32"/>
          <w:szCs w:val="32"/>
          <w:highlight w:val="none"/>
        </w:rPr>
        <w:t xml:space="preserve">  邹  剑  孙  悦  </w:t>
      </w:r>
      <w:r>
        <w:rPr>
          <w:rFonts w:hint="default" w:ascii="Times New Roman" w:hAnsi="Times New Roman" w:eastAsia="方正仿宋_GBK" w:cs="Times New Roman"/>
          <w:color w:val="auto"/>
          <w:sz w:val="32"/>
          <w:szCs w:val="32"/>
          <w:highlight w:val="none"/>
          <w:lang w:eastAsia="zh-CN"/>
        </w:rPr>
        <w:t>吴  远</w:t>
      </w:r>
      <w:r>
        <w:rPr>
          <w:rFonts w:hint="default" w:ascii="Times New Roman" w:hAnsi="Times New Roman" w:eastAsia="方正仿宋_GBK" w:cs="Times New Roman"/>
          <w:color w:val="auto"/>
          <w:sz w:val="32"/>
          <w:szCs w:val="32"/>
          <w:highlight w:val="none"/>
        </w:rPr>
        <w:t xml:space="preserve">  王  朗   </w:t>
      </w:r>
    </w:p>
    <w:p>
      <w:pPr>
        <w:pageBreakBefore w:val="0"/>
        <w:widowControl w:val="0"/>
        <w:kinsoku/>
        <w:wordWrap/>
        <w:overflowPunct/>
        <w:topLinePunct w:val="0"/>
        <w:autoSpaceDE/>
        <w:autoSpaceDN/>
        <w:bidi w:val="0"/>
        <w:adjustRightInd w:val="0"/>
        <w:snapToGrid w:val="0"/>
        <w:spacing w:line="50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val="en-US" w:eastAsia="zh-CN"/>
        </w:rPr>
        <w:t>孟  飞</w:t>
      </w:r>
      <w:r>
        <w:rPr>
          <w:rFonts w:hint="default" w:ascii="Times New Roman" w:hAnsi="Times New Roman" w:eastAsia="方正仿宋_GBK" w:cs="Times New Roman"/>
          <w:color w:val="auto"/>
          <w:sz w:val="32"/>
          <w:szCs w:val="32"/>
          <w:highlight w:val="none"/>
        </w:rPr>
        <w:t xml:space="preserve"> </w:t>
      </w:r>
      <w:r>
        <w:rPr>
          <w:rFonts w:hint="eastAsia" w:ascii="Times New Roman" w:hAnsi="Times New Roman" w:eastAsia="方正仿宋_GBK" w:cs="Times New Roman"/>
          <w:color w:val="auto"/>
          <w:sz w:val="32"/>
          <w:szCs w:val="32"/>
          <w:highlight w:val="none"/>
          <w:lang w:val="en-US" w:eastAsia="zh-CN"/>
        </w:rPr>
        <w:t xml:space="preserve"> </w:t>
      </w:r>
      <w:r>
        <w:rPr>
          <w:rFonts w:hint="default" w:ascii="Times New Roman" w:hAnsi="Times New Roman" w:eastAsia="方正仿宋_GBK" w:cs="Times New Roman"/>
          <w:color w:val="auto"/>
          <w:sz w:val="32"/>
          <w:szCs w:val="32"/>
          <w:highlight w:val="none"/>
        </w:rPr>
        <w:t>王小光  张  斌  赵济乾</w:t>
      </w:r>
    </w:p>
    <w:p>
      <w:pPr>
        <w:pageBreakBefore w:val="0"/>
        <w:widowControl w:val="0"/>
        <w:kinsoku/>
        <w:wordWrap/>
        <w:overflowPunct/>
        <w:topLinePunct w:val="0"/>
        <w:autoSpaceDE/>
        <w:autoSpaceDN/>
        <w:bidi w:val="0"/>
        <w:spacing w:line="500" w:lineRule="exact"/>
        <w:ind w:firstLine="640"/>
        <w:textAlignment w:val="auto"/>
        <w:rPr>
          <w:rFonts w:hint="default" w:ascii="Times New Roman" w:hAnsi="Times New Roman" w:eastAsia="方正仿宋_GBK" w:cs="Times New Roman"/>
          <w:b/>
          <w:color w:val="auto"/>
          <w:sz w:val="32"/>
          <w:szCs w:val="32"/>
          <w:highlight w:val="none"/>
        </w:rPr>
      </w:pPr>
      <w:r>
        <w:rPr>
          <w:rFonts w:hint="default" w:ascii="Times New Roman" w:hAnsi="Times New Roman" w:eastAsia="方正仿宋_GBK" w:cs="Times New Roman"/>
          <w:b/>
          <w:color w:val="auto"/>
          <w:sz w:val="32"/>
          <w:szCs w:val="32"/>
          <w:highlight w:val="none"/>
        </w:rPr>
        <w:t>3.电力负荷管理督查组</w:t>
      </w:r>
    </w:p>
    <w:p>
      <w:pPr>
        <w:pageBreakBefore w:val="0"/>
        <w:widowControl w:val="0"/>
        <w:kinsoku/>
        <w:wordWrap/>
        <w:overflowPunct/>
        <w:topLinePunct w:val="0"/>
        <w:autoSpaceDE/>
        <w:autoSpaceDN/>
        <w:bidi w:val="0"/>
        <w:adjustRightInd w:val="0"/>
        <w:snapToGrid w:val="0"/>
        <w:spacing w:line="50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宿迁电力负荷管理工作督查小组人员由政府、供电、媒体、企业代表等组成，具体负责实施迎峰度夏（冬）期间电力负荷管理指令执行情况的检查监督。电力负荷管理督查工作实行区域管理，各市（区）设立专门机构负责本区域的督查工作。其中政府、媒体、企业代表根据实际情况邀请参加督查。</w:t>
      </w:r>
    </w:p>
    <w:p>
      <w:pPr>
        <w:pStyle w:val="7"/>
        <w:pageBreakBefore w:val="0"/>
        <w:widowControl w:val="0"/>
        <w:kinsoku/>
        <w:wordWrap/>
        <w:overflowPunct/>
        <w:topLinePunct w:val="0"/>
        <w:autoSpaceDE/>
        <w:autoSpaceDN/>
        <w:bidi w:val="0"/>
        <w:spacing w:line="500" w:lineRule="exact"/>
        <w:textAlignment w:val="auto"/>
        <w:rPr>
          <w:rFonts w:hint="default" w:ascii="Times New Roman" w:hAnsi="Times New Roman" w:eastAsia="方正仿宋_GBK" w:cs="Times New Roman"/>
          <w:color w:val="auto"/>
          <w:sz w:val="32"/>
          <w:szCs w:val="32"/>
          <w:highlight w:val="none"/>
        </w:rPr>
      </w:pPr>
      <w:bookmarkStart w:id="49" w:name="_Toc22094"/>
      <w:bookmarkStart w:id="50" w:name="_Toc31975"/>
      <w:bookmarkStart w:id="51" w:name="_Toc535"/>
      <w:bookmarkStart w:id="52" w:name="_Toc11343"/>
      <w:bookmarkStart w:id="53" w:name="_Toc32558"/>
      <w:bookmarkStart w:id="54" w:name="_Toc13249"/>
      <w:bookmarkStart w:id="55" w:name="_Toc21722"/>
      <w:bookmarkStart w:id="56" w:name="_Toc317170150"/>
      <w:r>
        <w:rPr>
          <w:rFonts w:hint="default" w:ascii="Times New Roman" w:hAnsi="Times New Roman" w:eastAsia="方正仿宋_GBK" w:cs="Times New Roman"/>
          <w:color w:val="auto"/>
          <w:sz w:val="32"/>
          <w:szCs w:val="32"/>
          <w:highlight w:val="none"/>
        </w:rPr>
        <w:t>2.2 工作职责</w:t>
      </w:r>
      <w:bookmarkEnd w:id="49"/>
      <w:bookmarkEnd w:id="50"/>
      <w:bookmarkEnd w:id="51"/>
      <w:bookmarkEnd w:id="52"/>
      <w:bookmarkEnd w:id="53"/>
      <w:bookmarkEnd w:id="54"/>
      <w:bookmarkEnd w:id="55"/>
      <w:bookmarkEnd w:id="56"/>
    </w:p>
    <w:p>
      <w:pPr>
        <w:pageBreakBefore w:val="0"/>
        <w:widowControl w:val="0"/>
        <w:kinsoku/>
        <w:wordWrap/>
        <w:overflowPunct/>
        <w:topLinePunct w:val="0"/>
        <w:autoSpaceDE/>
        <w:autoSpaceDN/>
        <w:bidi w:val="0"/>
        <w:spacing w:line="500" w:lineRule="exact"/>
        <w:ind w:firstLine="640"/>
        <w:textAlignment w:val="auto"/>
        <w:rPr>
          <w:rFonts w:hint="default" w:ascii="Times New Roman" w:hAnsi="Times New Roman" w:eastAsia="方正仿宋_GBK" w:cs="Times New Roman"/>
          <w:b/>
          <w:color w:val="auto"/>
          <w:sz w:val="32"/>
          <w:szCs w:val="32"/>
          <w:highlight w:val="none"/>
        </w:rPr>
      </w:pPr>
      <w:r>
        <w:rPr>
          <w:rFonts w:hint="default" w:ascii="Times New Roman" w:hAnsi="Times New Roman" w:eastAsia="方正仿宋_GBK" w:cs="Times New Roman"/>
          <w:b/>
          <w:color w:val="auto"/>
          <w:sz w:val="32"/>
          <w:szCs w:val="32"/>
          <w:highlight w:val="none"/>
        </w:rPr>
        <w:t>1.宿迁市电力负荷管理部门</w:t>
      </w:r>
    </w:p>
    <w:p>
      <w:pPr>
        <w:pageBreakBefore w:val="0"/>
        <w:widowControl w:val="0"/>
        <w:kinsoku/>
        <w:wordWrap/>
        <w:overflowPunct/>
        <w:topLinePunct w:val="0"/>
        <w:autoSpaceDE/>
        <w:autoSpaceDN/>
        <w:bidi w:val="0"/>
        <w:adjustRightInd w:val="0"/>
        <w:snapToGrid w:val="0"/>
        <w:spacing w:line="50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负责根据电力运行负荷预测变化情况，不定期召开协调会议，研究、协调并决定宿迁市保证正常供用电秩序及安全可靠供电的重要事项和重大决策，领导全市的电力负荷管理工作。将电力保供成效工作纳入全市发改系统年度综合工作考评，强化目标管理和考核，建立有效用电管理奖惩机制，促进电力保供工作质效提升。</w:t>
      </w:r>
    </w:p>
    <w:p>
      <w:pPr>
        <w:pageBreakBefore w:val="0"/>
        <w:widowControl w:val="0"/>
        <w:kinsoku/>
        <w:wordWrap/>
        <w:overflowPunct/>
        <w:topLinePunct w:val="0"/>
        <w:autoSpaceDE/>
        <w:autoSpaceDN/>
        <w:bidi w:val="0"/>
        <w:adjustRightInd w:val="0"/>
        <w:snapToGrid w:val="0"/>
        <w:spacing w:line="500" w:lineRule="exact"/>
        <w:ind w:firstLine="640"/>
        <w:textAlignment w:val="auto"/>
        <w:rPr>
          <w:rFonts w:hint="default" w:ascii="Times New Roman" w:hAnsi="Times New Roman" w:eastAsia="方正仿宋_GBK" w:cs="Times New Roman"/>
          <w:color w:val="auto"/>
          <w:spacing w:val="-11"/>
          <w:sz w:val="32"/>
          <w:szCs w:val="32"/>
          <w:highlight w:val="none"/>
        </w:rPr>
      </w:pPr>
      <w:r>
        <w:rPr>
          <w:rFonts w:hint="default" w:ascii="Times New Roman" w:hAnsi="Times New Roman" w:eastAsia="方正仿宋_GBK" w:cs="Times New Roman"/>
          <w:color w:val="auto"/>
          <w:sz w:val="32"/>
          <w:szCs w:val="32"/>
          <w:highlight w:val="none"/>
        </w:rPr>
        <w:t>宿迁市电力负荷管理部门具体负责处理全市电力负荷管理日常工作，报告和向社会通报全市供用电情况，负责信息的沟通和相关协调工作。将电网安全放在首位，制定优化电力负荷管理预案，确保居民生活、确保城市正常运行、农业生产、重点客户用电。在电力供应紧张时，根据国家产业政策，按照先错峰、后避峰的顺序安排电力负荷管理工作。针对可预知的电力供应不足的情况，利用行政、经济和技术手段，强化用电管理，优化电力资源配置，维护平稳的供用</w:t>
      </w:r>
      <w:r>
        <w:rPr>
          <w:rFonts w:hint="default" w:ascii="Times New Roman" w:hAnsi="Times New Roman" w:eastAsia="方正仿宋_GBK" w:cs="Times New Roman"/>
          <w:color w:val="auto"/>
          <w:spacing w:val="-11"/>
          <w:sz w:val="32"/>
          <w:szCs w:val="32"/>
          <w:highlight w:val="none"/>
        </w:rPr>
        <w:t>电秩序，将电力供需矛盾给社会带来的不利影响降至最低程度。</w:t>
      </w:r>
    </w:p>
    <w:p>
      <w:pPr>
        <w:pageBreakBefore w:val="0"/>
        <w:widowControl w:val="0"/>
        <w:kinsoku/>
        <w:wordWrap/>
        <w:overflowPunct/>
        <w:topLinePunct w:val="0"/>
        <w:autoSpaceDE/>
        <w:autoSpaceDN/>
        <w:bidi w:val="0"/>
        <w:spacing w:line="500" w:lineRule="exact"/>
        <w:ind w:firstLine="640"/>
        <w:textAlignment w:val="auto"/>
        <w:rPr>
          <w:rFonts w:hint="default" w:ascii="Times New Roman" w:hAnsi="Times New Roman" w:eastAsia="方正仿宋_GBK" w:cs="Times New Roman"/>
          <w:b/>
          <w:color w:val="auto"/>
          <w:sz w:val="32"/>
          <w:szCs w:val="32"/>
          <w:highlight w:val="none"/>
        </w:rPr>
      </w:pPr>
      <w:r>
        <w:rPr>
          <w:rFonts w:hint="default" w:ascii="Times New Roman" w:hAnsi="Times New Roman" w:eastAsia="方正仿宋_GBK" w:cs="Times New Roman"/>
          <w:b/>
          <w:color w:val="auto"/>
          <w:sz w:val="32"/>
          <w:szCs w:val="32"/>
          <w:highlight w:val="none"/>
        </w:rPr>
        <w:t>2.电力负荷管理中心</w:t>
      </w:r>
    </w:p>
    <w:p>
      <w:pPr>
        <w:pageBreakBefore w:val="0"/>
        <w:widowControl w:val="0"/>
        <w:kinsoku/>
        <w:wordWrap/>
        <w:overflowPunct/>
        <w:topLinePunct w:val="0"/>
        <w:autoSpaceDE/>
        <w:autoSpaceDN/>
        <w:bidi w:val="0"/>
        <w:adjustRightInd w:val="0"/>
        <w:snapToGrid w:val="0"/>
        <w:spacing w:line="50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电力负荷管理中心负责编制本地区年度电力负荷管理保供方案；负责本地区需求响应、</w:t>
      </w:r>
      <w:r>
        <w:rPr>
          <w:rFonts w:hint="eastAsia" w:ascii="Times New Roman" w:hAnsi="Times New Roman" w:eastAsia="方正仿宋_GBK" w:cs="Times New Roman"/>
          <w:color w:val="auto"/>
          <w:sz w:val="32"/>
          <w:szCs w:val="32"/>
          <w:highlight w:val="none"/>
          <w:lang w:eastAsia="zh-CN"/>
        </w:rPr>
        <w:t>有序用电（负荷控制）</w:t>
      </w:r>
      <w:r>
        <w:rPr>
          <w:rFonts w:hint="default" w:ascii="Times New Roman" w:hAnsi="Times New Roman" w:eastAsia="方正仿宋_GBK" w:cs="Times New Roman"/>
          <w:color w:val="auto"/>
          <w:sz w:val="32"/>
          <w:szCs w:val="32"/>
          <w:highlight w:val="none"/>
        </w:rPr>
        <w:t>、轮休等负荷管理措施监督执行和服务管控；负责应用新型电力负荷管理系统开展数据分析；负责开展本地区电力负荷管理资源监测分析、业务支撑等；负责对下一级电力负荷管理中心建设及日常管理工作进行指导、监督、检查、验收和评价考核等。</w:t>
      </w:r>
    </w:p>
    <w:p>
      <w:pPr>
        <w:pageBreakBefore w:val="0"/>
        <w:widowControl w:val="0"/>
        <w:kinsoku/>
        <w:wordWrap/>
        <w:overflowPunct/>
        <w:topLinePunct w:val="0"/>
        <w:autoSpaceDE/>
        <w:autoSpaceDN/>
        <w:bidi w:val="0"/>
        <w:adjustRightInd w:val="0"/>
        <w:snapToGrid w:val="0"/>
        <w:spacing w:line="50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eastAsia="zh-CN"/>
        </w:rPr>
        <w:t>电力</w:t>
      </w:r>
      <w:r>
        <w:rPr>
          <w:rFonts w:hint="default" w:ascii="Times New Roman" w:hAnsi="Times New Roman" w:eastAsia="方正仿宋_GBK" w:cs="Times New Roman"/>
          <w:color w:val="auto"/>
          <w:sz w:val="32"/>
          <w:szCs w:val="32"/>
          <w:highlight w:val="none"/>
        </w:rPr>
        <w:t>负荷管理中心成立柔性团队，由发改委和供电公司成立工作专班，由发改委经济运行处、煤电处负责人，供电公司营销部及三室负责人、增量配电网公司相关负责人等专业骨干组成柔性团队，全方位保障电力保供工作。</w:t>
      </w:r>
    </w:p>
    <w:p>
      <w:pPr>
        <w:pageBreakBefore w:val="0"/>
        <w:widowControl w:val="0"/>
        <w:kinsoku/>
        <w:wordWrap/>
        <w:overflowPunct/>
        <w:topLinePunct w:val="0"/>
        <w:autoSpaceDE/>
        <w:autoSpaceDN/>
        <w:bidi w:val="0"/>
        <w:spacing w:line="500" w:lineRule="exact"/>
        <w:ind w:firstLine="640"/>
        <w:textAlignment w:val="auto"/>
        <w:rPr>
          <w:rFonts w:hint="default" w:ascii="Times New Roman" w:hAnsi="Times New Roman" w:eastAsia="方正仿宋_GBK" w:cs="Times New Roman"/>
          <w:b/>
          <w:color w:val="auto"/>
          <w:sz w:val="32"/>
          <w:szCs w:val="32"/>
          <w:highlight w:val="none"/>
        </w:rPr>
      </w:pPr>
      <w:r>
        <w:rPr>
          <w:rFonts w:hint="default" w:ascii="Times New Roman" w:hAnsi="Times New Roman" w:eastAsia="方正仿宋_GBK" w:cs="Times New Roman"/>
          <w:b/>
          <w:color w:val="auto"/>
          <w:sz w:val="32"/>
          <w:szCs w:val="32"/>
          <w:highlight w:val="none"/>
        </w:rPr>
        <w:t>3.国网宿迁供电公司电力负荷管理领导小组和工作小组</w:t>
      </w:r>
    </w:p>
    <w:p>
      <w:pPr>
        <w:keepNext w:val="0"/>
        <w:keepLines w:val="0"/>
        <w:pageBreakBefore w:val="0"/>
        <w:widowControl w:val="0"/>
        <w:kinsoku/>
        <w:wordWrap/>
        <w:overflowPunct/>
        <w:topLinePunct w:val="0"/>
        <w:autoSpaceDE/>
        <w:autoSpaceDN/>
        <w:bidi w:val="0"/>
        <w:adjustRightInd w:val="0"/>
        <w:snapToGrid w:val="0"/>
        <w:spacing w:line="50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将电网安全放在首位，制定优化电力负荷管理预案，确保居民生活、确保城市正常运行、农业生产、重点客户用电。在电力供应紧张时，根据国家产业政策，及省、市发改委相关工作部署，按照先错峰、后避峰的顺序安排电力负荷管理工作。针对可预知的电力供应不足的情况，利用经济和技术手段，强化用电管理，优化电力资源配置，维护平稳的供用</w:t>
      </w:r>
      <w:r>
        <w:rPr>
          <w:rFonts w:hint="default" w:ascii="Times New Roman" w:hAnsi="Times New Roman" w:eastAsia="方正仿宋_GBK" w:cs="Times New Roman"/>
          <w:color w:val="auto"/>
          <w:spacing w:val="-11"/>
          <w:sz w:val="32"/>
          <w:szCs w:val="32"/>
          <w:highlight w:val="none"/>
        </w:rPr>
        <w:t>电秩序，将电力供需矛盾给社会带来的不利影响降至最低程度。</w:t>
      </w:r>
    </w:p>
    <w:p>
      <w:pPr>
        <w:keepNext w:val="0"/>
        <w:keepLines w:val="0"/>
        <w:pageBreakBefore w:val="0"/>
        <w:widowControl w:val="0"/>
        <w:kinsoku/>
        <w:wordWrap/>
        <w:overflowPunct/>
        <w:topLinePunct w:val="0"/>
        <w:autoSpaceDE/>
        <w:autoSpaceDN/>
        <w:bidi w:val="0"/>
        <w:adjustRightInd w:val="0"/>
        <w:snapToGrid w:val="0"/>
        <w:spacing w:line="50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市场营销部：为电力负荷管理归口管理部门，全面负责电力负荷</w:t>
      </w:r>
      <w:r>
        <w:rPr>
          <w:rFonts w:hint="eastAsia" w:ascii="Times New Roman" w:hAnsi="Times New Roman" w:eastAsia="方正仿宋_GBK" w:cs="Times New Roman"/>
          <w:color w:val="auto"/>
          <w:sz w:val="32"/>
          <w:szCs w:val="32"/>
          <w:highlight w:val="none"/>
          <w:lang w:eastAsia="zh-CN"/>
        </w:rPr>
        <w:t>管理</w:t>
      </w:r>
      <w:r>
        <w:rPr>
          <w:rFonts w:hint="default" w:ascii="Times New Roman" w:hAnsi="Times New Roman" w:eastAsia="方正仿宋_GBK" w:cs="Times New Roman"/>
          <w:color w:val="auto"/>
          <w:sz w:val="32"/>
          <w:szCs w:val="32"/>
          <w:highlight w:val="none"/>
        </w:rPr>
        <w:t>工作，协调电力负荷管理期间各部门之间的工作。负责负控系统的日常运维，确保负控系统的安全与稳定。负责根据省发改委、省电力公司相关通知要求组织需求响应，负责通过负控系统实施错峰。根据电力负荷管理办公室提供的错峰信息和电网信息，加强和客户沟通，做好解释工作。</w:t>
      </w:r>
    </w:p>
    <w:p>
      <w:pPr>
        <w:pageBreakBefore w:val="0"/>
        <w:widowControl w:val="0"/>
        <w:kinsoku/>
        <w:wordWrap/>
        <w:overflowPunct/>
        <w:topLinePunct w:val="0"/>
        <w:autoSpaceDE/>
        <w:autoSpaceDN/>
        <w:bidi w:val="0"/>
        <w:adjustRightInd w:val="0"/>
        <w:snapToGrid w:val="0"/>
        <w:spacing w:line="50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调控中心：调控中心负责合理安排电网运行方式，确保主网运行安全可靠。加强负荷预测，协助做好本地区的发用电平衡，必要时合理调整负荷，保证负荷满足需求，及时通报电网的供需情况。</w:t>
      </w:r>
    </w:p>
    <w:p>
      <w:pPr>
        <w:pageBreakBefore w:val="0"/>
        <w:widowControl w:val="0"/>
        <w:kinsoku/>
        <w:wordWrap/>
        <w:overflowPunct/>
        <w:topLinePunct w:val="0"/>
        <w:autoSpaceDE/>
        <w:autoSpaceDN/>
        <w:bidi w:val="0"/>
        <w:adjustRightInd w:val="0"/>
        <w:snapToGrid w:val="0"/>
        <w:spacing w:line="50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设备管理部：加强对变电站、配电所的变压器和电气设</w:t>
      </w:r>
      <w:r>
        <w:rPr>
          <w:rFonts w:hint="default" w:ascii="Times New Roman" w:hAnsi="Times New Roman" w:eastAsia="方正仿宋_GBK" w:cs="Times New Roman"/>
          <w:color w:val="auto"/>
          <w:spacing w:val="-11"/>
          <w:sz w:val="32"/>
          <w:szCs w:val="32"/>
          <w:highlight w:val="none"/>
        </w:rPr>
        <w:t>备的检查；遇变电站、配电所设备发生事故时，及时组织抢修。</w:t>
      </w:r>
    </w:p>
    <w:p>
      <w:pPr>
        <w:pageBreakBefore w:val="0"/>
        <w:widowControl w:val="0"/>
        <w:kinsoku/>
        <w:wordWrap/>
        <w:overflowPunct/>
        <w:topLinePunct w:val="0"/>
        <w:autoSpaceDE/>
        <w:autoSpaceDN/>
        <w:bidi w:val="0"/>
        <w:adjustRightInd w:val="0"/>
        <w:snapToGrid w:val="0"/>
        <w:spacing w:line="50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党建部：负责全市电力供需情况的对外发布。在实施电力负荷管理时，及时关注舆情动态，及时做好疏导沟通，确保社会舆情稳定可控。</w:t>
      </w:r>
    </w:p>
    <w:p>
      <w:pPr>
        <w:pageBreakBefore w:val="0"/>
        <w:widowControl w:val="0"/>
        <w:kinsoku/>
        <w:wordWrap/>
        <w:overflowPunct/>
        <w:topLinePunct w:val="0"/>
        <w:autoSpaceDE/>
        <w:autoSpaceDN/>
        <w:bidi w:val="0"/>
        <w:adjustRightInd w:val="0"/>
        <w:snapToGrid w:val="0"/>
        <w:spacing w:line="50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万达综合服务公司：在实施电力负荷管理时，保证通讯保障、后勤生活保障、交通运输保障等工作。</w:t>
      </w:r>
    </w:p>
    <w:p>
      <w:pPr>
        <w:pageBreakBefore w:val="0"/>
        <w:widowControl w:val="0"/>
        <w:kinsoku/>
        <w:wordWrap/>
        <w:overflowPunct/>
        <w:topLinePunct w:val="0"/>
        <w:autoSpaceDE/>
        <w:autoSpaceDN/>
        <w:bidi w:val="0"/>
        <w:spacing w:line="500" w:lineRule="exact"/>
        <w:ind w:firstLine="640"/>
        <w:textAlignment w:val="auto"/>
        <w:rPr>
          <w:rFonts w:hint="default" w:ascii="Times New Roman" w:hAnsi="Times New Roman" w:eastAsia="方正仿宋_GBK" w:cs="Times New Roman"/>
          <w:b/>
          <w:color w:val="auto"/>
          <w:sz w:val="32"/>
          <w:szCs w:val="32"/>
          <w:highlight w:val="none"/>
        </w:rPr>
      </w:pPr>
      <w:r>
        <w:rPr>
          <w:rFonts w:hint="default" w:ascii="Times New Roman" w:hAnsi="Times New Roman" w:eastAsia="方正仿宋_GBK" w:cs="Times New Roman"/>
          <w:b/>
          <w:color w:val="auto"/>
          <w:sz w:val="32"/>
          <w:szCs w:val="32"/>
          <w:highlight w:val="none"/>
        </w:rPr>
        <w:t>4.国网宿迁供电公司电力负荷管理办公室</w:t>
      </w:r>
    </w:p>
    <w:p>
      <w:pPr>
        <w:pageBreakBefore w:val="0"/>
        <w:widowControl w:val="0"/>
        <w:kinsoku/>
        <w:wordWrap/>
        <w:overflowPunct/>
        <w:topLinePunct w:val="0"/>
        <w:autoSpaceDE/>
        <w:autoSpaceDN/>
        <w:bidi w:val="0"/>
        <w:adjustRightInd w:val="0"/>
        <w:snapToGrid w:val="0"/>
        <w:spacing w:line="50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负责用电负荷指标的分配，分析电网供需信息，并定期向市能源保供协调小组办公室汇报电力供需情况。根据</w:t>
      </w:r>
      <w:r>
        <w:rPr>
          <w:rFonts w:hint="default" w:ascii="Times New Roman" w:hAnsi="Times New Roman" w:eastAsia="方正仿宋_GBK" w:cs="Times New Roman"/>
          <w:color w:val="auto"/>
          <w:sz w:val="32"/>
          <w:szCs w:val="32"/>
          <w:highlight w:val="none"/>
          <w:lang w:val="en-US" w:eastAsia="zh-CN"/>
        </w:rPr>
        <w:t>错峰</w:t>
      </w:r>
      <w:r>
        <w:rPr>
          <w:rFonts w:hint="default" w:ascii="Times New Roman" w:hAnsi="Times New Roman" w:eastAsia="方正仿宋_GBK" w:cs="Times New Roman"/>
          <w:color w:val="auto"/>
          <w:sz w:val="32"/>
          <w:szCs w:val="32"/>
          <w:highlight w:val="none"/>
        </w:rPr>
        <w:t>指标决定启用的方案，向负控发出启动方案指令，向95598提供错峰信息，及时向电力负荷管理领导小组办公室汇报。根据负控提供的数据信息，向督查小组提供信息。负责对负控监测、督查小组反馈的信息进行汇总，</w:t>
      </w:r>
      <w:commentRangeStart w:id="0"/>
      <w:r>
        <w:rPr>
          <w:rFonts w:hint="default" w:ascii="Times New Roman" w:hAnsi="Times New Roman" w:eastAsia="方正仿宋_GBK" w:cs="Times New Roman"/>
          <w:strike w:val="0"/>
          <w:dstrike w:val="0"/>
          <w:color w:val="auto"/>
          <w:sz w:val="32"/>
          <w:szCs w:val="32"/>
          <w:highlight w:val="none"/>
        </w:rPr>
        <w:t>并上报</w:t>
      </w:r>
      <w:r>
        <w:rPr>
          <w:rFonts w:hint="eastAsia" w:ascii="Times New Roman" w:hAnsi="Times New Roman" w:eastAsia="方正仿宋_GBK" w:cs="Times New Roman"/>
          <w:strike w:val="0"/>
          <w:dstrike w:val="0"/>
          <w:color w:val="auto"/>
          <w:sz w:val="32"/>
          <w:szCs w:val="32"/>
          <w:highlight w:val="none"/>
          <w:lang w:val="en-US" w:eastAsia="zh-CN"/>
        </w:rPr>
        <w:t>电力主管部门</w:t>
      </w:r>
      <w:r>
        <w:rPr>
          <w:rFonts w:hint="default" w:ascii="Times New Roman" w:hAnsi="Times New Roman" w:eastAsia="方正仿宋_GBK" w:cs="Times New Roman"/>
          <w:strike w:val="0"/>
          <w:color w:val="auto"/>
          <w:sz w:val="32"/>
          <w:szCs w:val="32"/>
          <w:highlight w:val="none"/>
        </w:rPr>
        <w:t>。</w:t>
      </w:r>
      <w:commentRangeEnd w:id="0"/>
      <w:r>
        <w:rPr>
          <w:color w:val="auto"/>
          <w:highlight w:val="none"/>
        </w:rPr>
        <w:commentReference w:id="0"/>
      </w:r>
    </w:p>
    <w:p>
      <w:pPr>
        <w:pageBreakBefore w:val="0"/>
        <w:widowControl w:val="0"/>
        <w:kinsoku/>
        <w:wordWrap/>
        <w:overflowPunct/>
        <w:topLinePunct w:val="0"/>
        <w:autoSpaceDE/>
        <w:autoSpaceDN/>
        <w:bidi w:val="0"/>
        <w:spacing w:line="500" w:lineRule="exact"/>
        <w:ind w:firstLine="640"/>
        <w:textAlignment w:val="auto"/>
        <w:rPr>
          <w:rFonts w:hint="default" w:ascii="Times New Roman" w:hAnsi="Times New Roman" w:eastAsia="方正仿宋_GBK" w:cs="Times New Roman"/>
          <w:b/>
          <w:color w:val="auto"/>
          <w:sz w:val="32"/>
          <w:szCs w:val="32"/>
          <w:highlight w:val="none"/>
        </w:rPr>
      </w:pPr>
      <w:r>
        <w:rPr>
          <w:rFonts w:hint="default" w:ascii="Times New Roman" w:hAnsi="Times New Roman" w:eastAsia="方正仿宋_GBK" w:cs="Times New Roman"/>
          <w:b/>
          <w:color w:val="auto"/>
          <w:sz w:val="32"/>
          <w:szCs w:val="32"/>
          <w:highlight w:val="none"/>
        </w:rPr>
        <w:t>5.电力负荷管理预案企业</w:t>
      </w:r>
    </w:p>
    <w:p>
      <w:pPr>
        <w:pageBreakBefore w:val="0"/>
        <w:widowControl w:val="0"/>
        <w:kinsoku/>
        <w:wordWrap/>
        <w:overflowPunct/>
        <w:topLinePunct w:val="0"/>
        <w:autoSpaceDE/>
        <w:autoSpaceDN/>
        <w:bidi w:val="0"/>
        <w:adjustRightInd w:val="0"/>
        <w:snapToGrid w:val="0"/>
        <w:spacing w:line="50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按电力负荷管理要求制定本企业内部方案，并组织相关人员熟悉预案；责任人的联系电话在迎峰度夏（冬）期间保持通讯畅通，客户变电所安排24小时值班；值班人员定期定时巡视负控终端，如有故障及时报修；值班人员熟悉负控终端的功能，了解运行负荷数据、各指示灯的作用；收到终端通知时严格按照要求执行；听从电力负荷管理中心指派的监督工作人员的指令；收到错峰指令时启动内部预案直到满足错峰要求；执行错峰指令后请及时关注负荷释放时间，做好释放负荷准备工作，尽早恢复生产。</w:t>
      </w:r>
    </w:p>
    <w:p>
      <w:pPr>
        <w:pageBreakBefore w:val="0"/>
        <w:widowControl w:val="0"/>
        <w:kinsoku/>
        <w:wordWrap/>
        <w:overflowPunct/>
        <w:topLinePunct w:val="0"/>
        <w:autoSpaceDE/>
        <w:autoSpaceDN/>
        <w:bidi w:val="0"/>
        <w:spacing w:line="500" w:lineRule="exact"/>
        <w:ind w:firstLine="640"/>
        <w:textAlignment w:val="auto"/>
        <w:rPr>
          <w:rFonts w:hint="default" w:ascii="Times New Roman" w:hAnsi="Times New Roman" w:eastAsia="方正仿宋_GBK" w:cs="Times New Roman"/>
          <w:b/>
          <w:color w:val="auto"/>
          <w:sz w:val="32"/>
          <w:szCs w:val="32"/>
          <w:highlight w:val="none"/>
        </w:rPr>
      </w:pPr>
      <w:r>
        <w:rPr>
          <w:rFonts w:hint="default" w:ascii="Times New Roman" w:hAnsi="Times New Roman" w:eastAsia="方正仿宋_GBK" w:cs="Times New Roman"/>
          <w:b/>
          <w:color w:val="auto"/>
          <w:sz w:val="32"/>
          <w:szCs w:val="32"/>
          <w:highlight w:val="none"/>
        </w:rPr>
        <w:t>6.电力负荷管理督查组</w:t>
      </w:r>
    </w:p>
    <w:p>
      <w:pPr>
        <w:pageBreakBefore w:val="0"/>
        <w:widowControl w:val="0"/>
        <w:kinsoku/>
        <w:wordWrap/>
        <w:overflowPunct/>
        <w:topLinePunct w:val="0"/>
        <w:autoSpaceDE/>
        <w:autoSpaceDN/>
        <w:bidi w:val="0"/>
        <w:adjustRightInd w:val="0"/>
        <w:snapToGrid w:val="0"/>
        <w:spacing w:line="50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督查小组在市发改委、市供电公司的领导下具体负责实施在迎峰度夏（冬）期间电力负荷管理执行情况的检查监督。熟悉电力负荷管理预案及工作流程。熟悉巡视检查区域的企业</w:t>
      </w:r>
      <w:r>
        <w:rPr>
          <w:rFonts w:hint="default" w:ascii="Times New Roman" w:hAnsi="Times New Roman" w:eastAsia="方正仿宋_GBK" w:cs="Times New Roman"/>
          <w:color w:val="auto"/>
          <w:sz w:val="32"/>
          <w:szCs w:val="32"/>
          <w:highlight w:val="none"/>
          <w:lang w:val="en-US" w:eastAsia="zh-CN"/>
        </w:rPr>
        <w:t>错峰</w:t>
      </w:r>
      <w:r>
        <w:rPr>
          <w:rFonts w:hint="default" w:ascii="Times New Roman" w:hAnsi="Times New Roman" w:eastAsia="方正仿宋_GBK" w:cs="Times New Roman"/>
          <w:color w:val="auto"/>
          <w:sz w:val="32"/>
          <w:szCs w:val="32"/>
          <w:highlight w:val="none"/>
        </w:rPr>
        <w:t>情况。根据供电公司电力负荷管理办公室提供的信息，</w:t>
      </w:r>
      <w:commentRangeStart w:id="1"/>
      <w:r>
        <w:rPr>
          <w:rFonts w:hint="default" w:ascii="Times New Roman" w:hAnsi="Times New Roman" w:eastAsia="方正仿宋_GBK" w:cs="Times New Roman"/>
          <w:strike w:val="0"/>
          <w:dstrike w:val="0"/>
          <w:color w:val="auto"/>
          <w:sz w:val="32"/>
          <w:szCs w:val="32"/>
          <w:highlight w:val="none"/>
          <w:u w:val="none"/>
        </w:rPr>
        <w:t>经</w:t>
      </w:r>
      <w:r>
        <w:rPr>
          <w:rFonts w:hint="eastAsia" w:ascii="Times New Roman" w:hAnsi="Times New Roman" w:eastAsia="方正仿宋_GBK" w:cs="Times New Roman"/>
          <w:strike w:val="0"/>
          <w:dstrike w:val="0"/>
          <w:color w:val="auto"/>
          <w:sz w:val="32"/>
          <w:szCs w:val="32"/>
          <w:highlight w:val="none"/>
          <w:u w:val="none"/>
          <w:lang w:val="en-US" w:eastAsia="zh-CN"/>
        </w:rPr>
        <w:t>电力主管部门</w:t>
      </w:r>
      <w:r>
        <w:rPr>
          <w:rFonts w:hint="default" w:ascii="Times New Roman" w:hAnsi="Times New Roman" w:eastAsia="方正仿宋_GBK" w:cs="Times New Roman"/>
          <w:strike w:val="0"/>
          <w:dstrike w:val="0"/>
          <w:color w:val="auto"/>
          <w:sz w:val="32"/>
          <w:szCs w:val="32"/>
          <w:highlight w:val="none"/>
          <w:u w:val="none"/>
        </w:rPr>
        <w:t>授权</w:t>
      </w:r>
      <w:r>
        <w:rPr>
          <w:rFonts w:hint="default" w:ascii="Times New Roman" w:hAnsi="Times New Roman" w:eastAsia="方正仿宋_GBK" w:cs="Times New Roman"/>
          <w:strike w:val="0"/>
          <w:color w:val="auto"/>
          <w:sz w:val="32"/>
          <w:szCs w:val="32"/>
          <w:highlight w:val="none"/>
          <w:u w:val="none"/>
        </w:rPr>
        <w:t>，</w:t>
      </w:r>
      <w:commentRangeEnd w:id="1"/>
      <w:r>
        <w:rPr>
          <w:highlight w:val="none"/>
        </w:rPr>
        <w:commentReference w:id="1"/>
      </w:r>
      <w:r>
        <w:rPr>
          <w:rFonts w:hint="default" w:ascii="Times New Roman" w:hAnsi="Times New Roman" w:eastAsia="方正仿宋_GBK" w:cs="Times New Roman"/>
          <w:color w:val="auto"/>
          <w:sz w:val="32"/>
          <w:szCs w:val="32"/>
          <w:highlight w:val="none"/>
        </w:rPr>
        <w:t>现场处理电力负荷管理执行不力的情况，负责执行强制措施，处理结果报电力负荷管理部门。</w:t>
      </w:r>
    </w:p>
    <w:p>
      <w:pPr>
        <w:pStyle w:val="5"/>
        <w:numPr>
          <w:ilvl w:val="0"/>
          <w:numId w:val="0"/>
        </w:numPr>
        <w:tabs>
          <w:tab w:val="left" w:pos="432"/>
          <w:tab w:val="left" w:pos="576"/>
        </w:tabs>
        <w:spacing w:before="0" w:after="0"/>
        <w:ind w:firstLine="643" w:firstLineChars="200"/>
        <w:rPr>
          <w:rFonts w:hint="default" w:ascii="Times New Roman" w:hAnsi="Times New Roman" w:cs="Times New Roman"/>
          <w:color w:val="auto"/>
          <w:kern w:val="44"/>
          <w:highlight w:val="none"/>
        </w:rPr>
      </w:pPr>
      <w:bookmarkStart w:id="57" w:name="_Toc22347"/>
      <w:bookmarkStart w:id="58" w:name="_Toc17574"/>
      <w:bookmarkStart w:id="59" w:name="_Toc26657"/>
      <w:bookmarkStart w:id="60" w:name="_Toc25861"/>
      <w:bookmarkStart w:id="61" w:name="_Toc5701"/>
      <w:bookmarkStart w:id="62" w:name="_Toc22967"/>
      <w:r>
        <w:rPr>
          <w:rFonts w:hint="default" w:ascii="Times New Roman" w:hAnsi="Times New Roman" w:eastAsia="方正仿宋_GBK" w:cs="Times New Roman"/>
          <w:color w:val="auto"/>
          <w:kern w:val="44"/>
          <w:sz w:val="32"/>
          <w:szCs w:val="32"/>
          <w:highlight w:val="none"/>
        </w:rPr>
        <w:t>2.3 联系网络</w:t>
      </w:r>
      <w:bookmarkEnd w:id="57"/>
      <w:bookmarkEnd w:id="58"/>
      <w:bookmarkEnd w:id="59"/>
      <w:bookmarkEnd w:id="60"/>
      <w:bookmarkEnd w:id="61"/>
      <w:bookmarkEnd w:id="62"/>
    </w:p>
    <w:p>
      <w:pPr>
        <w:bidi w:val="0"/>
        <w:spacing w:line="240" w:lineRule="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drawing>
          <wp:inline distT="0" distB="0" distL="114300" distR="114300">
            <wp:extent cx="5272405" cy="4067175"/>
            <wp:effectExtent l="0" t="0" r="4445" b="9525"/>
            <wp:docPr id="18" name="图片 1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
                    <pic:cNvPicPr>
                      <a:picLocks noChangeAspect="1"/>
                    </pic:cNvPicPr>
                  </pic:nvPicPr>
                  <pic:blipFill>
                    <a:blip r:embed="rId16"/>
                    <a:stretch>
                      <a:fillRect/>
                    </a:stretch>
                  </pic:blipFill>
                  <pic:spPr>
                    <a:xfrm>
                      <a:off x="0" y="0"/>
                      <a:ext cx="5272405" cy="4067175"/>
                    </a:xfrm>
                    <a:prstGeom prst="rect">
                      <a:avLst/>
                    </a:prstGeom>
                  </pic:spPr>
                </pic:pic>
              </a:graphicData>
            </a:graphic>
          </wp:inline>
        </w:drawing>
      </w:r>
    </w:p>
    <w:p>
      <w:pPr>
        <w:pStyle w:val="18"/>
        <w:rPr>
          <w:rFonts w:hint="default" w:ascii="Times New Roman" w:hAnsi="Times New Roman" w:cs="Times New Roman"/>
          <w:highlight w:val="none"/>
          <w:lang w:val="en-US" w:eastAsia="zh-CN"/>
        </w:rPr>
      </w:pPr>
    </w:p>
    <w:p>
      <w:pPr>
        <w:pStyle w:val="18"/>
        <w:rPr>
          <w:rFonts w:hint="default" w:ascii="Times New Roman" w:hAnsi="Times New Roman" w:cs="Times New Roman"/>
          <w:highlight w:val="none"/>
          <w:lang w:val="en-US" w:eastAsia="zh-CN"/>
        </w:rPr>
      </w:pPr>
    </w:p>
    <w:p>
      <w:pPr>
        <w:pStyle w:val="18"/>
        <w:rPr>
          <w:rFonts w:hint="default" w:ascii="Times New Roman" w:hAnsi="Times New Roman" w:cs="Times New Roman"/>
          <w:highlight w:val="none"/>
          <w:lang w:val="en-US" w:eastAsia="zh-CN"/>
        </w:rPr>
      </w:pPr>
    </w:p>
    <w:p>
      <w:pPr>
        <w:pStyle w:val="18"/>
        <w:ind w:left="0" w:leftChars="0" w:firstLine="0" w:firstLineChars="0"/>
        <w:rPr>
          <w:rFonts w:hint="default" w:ascii="Times New Roman" w:hAnsi="Times New Roman" w:cs="Times New Roman"/>
          <w:highlight w:val="none"/>
          <w:lang w:val="en-US" w:eastAsia="zh-CN"/>
        </w:rPr>
      </w:pPr>
    </w:p>
    <w:p>
      <w:pPr>
        <w:bidi w:val="0"/>
        <w:ind w:left="0" w:leftChars="0" w:firstLine="0" w:firstLineChars="0"/>
        <w:rPr>
          <w:rFonts w:hint="default" w:ascii="Times New Roman" w:hAnsi="Times New Roman" w:cs="Times New Roman"/>
          <w:highlight w:val="none"/>
          <w:lang w:val="en-US" w:eastAsia="zh-CN"/>
        </w:rPr>
      </w:pPr>
    </w:p>
    <w:p>
      <w:pPr>
        <w:pStyle w:val="18"/>
        <w:rPr>
          <w:rFonts w:hint="default" w:ascii="Times New Roman" w:hAnsi="Times New Roman" w:cs="Times New Roman"/>
          <w:highlight w:val="none"/>
          <w:lang w:val="en-US" w:eastAsia="zh-CN"/>
        </w:rPr>
      </w:pPr>
    </w:p>
    <w:p>
      <w:pPr>
        <w:pStyle w:val="18"/>
        <w:rPr>
          <w:rFonts w:hint="default" w:ascii="Times New Roman" w:hAnsi="Times New Roman" w:cs="Times New Roman"/>
          <w:highlight w:val="none"/>
          <w:lang w:val="en-US" w:eastAsia="zh-CN"/>
        </w:rPr>
      </w:pPr>
    </w:p>
    <w:p>
      <w:pPr>
        <w:pStyle w:val="18"/>
        <w:rPr>
          <w:rFonts w:hint="default" w:ascii="Times New Roman" w:hAnsi="Times New Roman" w:cs="Times New Roman"/>
          <w:highlight w:val="none"/>
          <w:lang w:val="en-US" w:eastAsia="zh-CN"/>
        </w:rPr>
      </w:pPr>
    </w:p>
    <w:p>
      <w:pPr>
        <w:rPr>
          <w:rFonts w:hint="default" w:ascii="Times New Roman" w:hAnsi="Times New Roman" w:eastAsia="方正黑体_GBK" w:cs="Times New Roman"/>
          <w:b w:val="0"/>
          <w:color w:val="auto"/>
          <w:kern w:val="2"/>
          <w:sz w:val="32"/>
          <w:highlight w:val="none"/>
        </w:rPr>
      </w:pPr>
      <w:bookmarkStart w:id="63" w:name="_Toc31172"/>
      <w:bookmarkStart w:id="64" w:name="_Toc6356"/>
      <w:bookmarkStart w:id="65" w:name="_Toc6583"/>
      <w:bookmarkStart w:id="66" w:name="_Toc26287"/>
      <w:bookmarkStart w:id="67" w:name="_Toc23768"/>
      <w:bookmarkStart w:id="68" w:name="_Toc21423"/>
      <w:bookmarkStart w:id="69" w:name="_Toc30987"/>
      <w:bookmarkStart w:id="70" w:name="_Toc317170152"/>
      <w:r>
        <w:rPr>
          <w:rFonts w:hint="default" w:ascii="Times New Roman" w:hAnsi="Times New Roman" w:eastAsia="方正黑体_GBK" w:cs="Times New Roman"/>
          <w:b w:val="0"/>
          <w:color w:val="auto"/>
          <w:kern w:val="2"/>
          <w:sz w:val="32"/>
          <w:highlight w:val="none"/>
        </w:rPr>
        <w:br w:type="page"/>
      </w:r>
    </w:p>
    <w:p>
      <w:pPr>
        <w:pStyle w:val="3"/>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jc w:val="center"/>
        <w:textAlignment w:val="auto"/>
        <w:rPr>
          <w:rFonts w:hint="default" w:ascii="Times New Roman" w:hAnsi="Times New Roman" w:eastAsia="方正黑体简体" w:cs="Times New Roman"/>
          <w:b w:val="0"/>
          <w:color w:val="auto"/>
          <w:kern w:val="2"/>
          <w:sz w:val="32"/>
          <w:highlight w:val="none"/>
        </w:rPr>
      </w:pPr>
      <w:r>
        <w:rPr>
          <w:rFonts w:hint="default" w:ascii="Times New Roman" w:hAnsi="Times New Roman" w:eastAsia="方正黑体_GBK" w:cs="Times New Roman"/>
          <w:b w:val="0"/>
          <w:color w:val="auto"/>
          <w:kern w:val="2"/>
          <w:sz w:val="32"/>
          <w:highlight w:val="none"/>
        </w:rPr>
        <w:t>第三章  供用电形势分析</w:t>
      </w:r>
      <w:bookmarkEnd w:id="63"/>
      <w:bookmarkEnd w:id="64"/>
    </w:p>
    <w:p>
      <w:pPr>
        <w:pStyle w:val="5"/>
        <w:pageBreakBefore w:val="0"/>
        <w:widowControl w:val="0"/>
        <w:numPr>
          <w:ilvl w:val="0"/>
          <w:numId w:val="0"/>
        </w:numPr>
        <w:tabs>
          <w:tab w:val="left" w:pos="432"/>
          <w:tab w:val="left" w:pos="576"/>
        </w:tabs>
        <w:kinsoku/>
        <w:wordWrap/>
        <w:overflowPunct/>
        <w:topLinePunct w:val="0"/>
        <w:autoSpaceDE/>
        <w:autoSpaceDN/>
        <w:bidi w:val="0"/>
        <w:adjustRightInd/>
        <w:snapToGrid/>
        <w:spacing w:before="0" w:after="0"/>
        <w:ind w:firstLine="643" w:firstLineChars="200"/>
        <w:textAlignment w:val="auto"/>
        <w:rPr>
          <w:rFonts w:hint="default" w:ascii="Times New Roman" w:hAnsi="Times New Roman" w:eastAsia="方正仿宋_GBK" w:cs="Times New Roman"/>
          <w:color w:val="auto"/>
          <w:kern w:val="2"/>
          <w:sz w:val="32"/>
          <w:szCs w:val="32"/>
          <w:highlight w:val="none"/>
        </w:rPr>
      </w:pPr>
      <w:bookmarkStart w:id="71" w:name="_Toc403"/>
      <w:bookmarkStart w:id="72" w:name="_Toc26311"/>
    </w:p>
    <w:p>
      <w:pPr>
        <w:pStyle w:val="5"/>
        <w:pageBreakBefore w:val="0"/>
        <w:widowControl w:val="0"/>
        <w:numPr>
          <w:ilvl w:val="0"/>
          <w:numId w:val="0"/>
        </w:numPr>
        <w:tabs>
          <w:tab w:val="left" w:pos="432"/>
          <w:tab w:val="left" w:pos="576"/>
        </w:tabs>
        <w:kinsoku/>
        <w:wordWrap/>
        <w:overflowPunct/>
        <w:topLinePunct w:val="0"/>
        <w:autoSpaceDE/>
        <w:autoSpaceDN/>
        <w:bidi w:val="0"/>
        <w:adjustRightInd/>
        <w:snapToGrid/>
        <w:spacing w:before="0" w:after="0"/>
        <w:ind w:firstLine="643" w:firstLineChars="200"/>
        <w:textAlignment w:val="auto"/>
        <w:rPr>
          <w:rFonts w:hint="default" w:ascii="Times New Roman" w:hAnsi="Times New Roman" w:eastAsia="方正仿宋_GBK" w:cs="Times New Roman"/>
          <w:color w:val="auto"/>
          <w:kern w:val="2"/>
          <w:sz w:val="32"/>
          <w:szCs w:val="32"/>
          <w:highlight w:val="none"/>
        </w:rPr>
      </w:pPr>
      <w:r>
        <w:rPr>
          <w:rFonts w:hint="default" w:ascii="Times New Roman" w:hAnsi="Times New Roman" w:eastAsia="方正仿宋_GBK" w:cs="Times New Roman"/>
          <w:color w:val="auto"/>
          <w:kern w:val="2"/>
          <w:sz w:val="32"/>
          <w:szCs w:val="32"/>
          <w:highlight w:val="none"/>
        </w:rPr>
        <w:t>3.1</w:t>
      </w:r>
      <w:r>
        <w:rPr>
          <w:rFonts w:hint="default" w:ascii="Times New Roman" w:hAnsi="Times New Roman" w:eastAsia="方正仿宋_GBK" w:cs="Times New Roman"/>
          <w:color w:val="auto"/>
          <w:kern w:val="2"/>
          <w:sz w:val="32"/>
          <w:szCs w:val="32"/>
          <w:highlight w:val="none"/>
          <w:lang w:val="en-US" w:eastAsia="zh-CN"/>
        </w:rPr>
        <w:t xml:space="preserve"> </w:t>
      </w:r>
      <w:r>
        <w:rPr>
          <w:rFonts w:hint="default" w:ascii="Times New Roman" w:hAnsi="Times New Roman" w:eastAsia="方正仿宋_GBK" w:cs="Times New Roman"/>
          <w:color w:val="auto"/>
          <w:kern w:val="2"/>
          <w:sz w:val="32"/>
          <w:szCs w:val="32"/>
          <w:highlight w:val="none"/>
        </w:rPr>
        <w:t xml:space="preserve"> 202</w:t>
      </w:r>
      <w:r>
        <w:rPr>
          <w:rFonts w:hint="default" w:ascii="Times New Roman" w:hAnsi="Times New Roman" w:eastAsia="方正仿宋_GBK" w:cs="Times New Roman"/>
          <w:color w:val="auto"/>
          <w:kern w:val="2"/>
          <w:sz w:val="32"/>
          <w:szCs w:val="32"/>
          <w:highlight w:val="none"/>
          <w:lang w:val="en-US" w:eastAsia="zh-CN"/>
        </w:rPr>
        <w:t>4</w:t>
      </w:r>
      <w:r>
        <w:rPr>
          <w:rFonts w:hint="default" w:ascii="Times New Roman" w:hAnsi="Times New Roman" w:eastAsia="方正仿宋_GBK" w:cs="Times New Roman"/>
          <w:color w:val="auto"/>
          <w:kern w:val="2"/>
          <w:sz w:val="32"/>
          <w:szCs w:val="32"/>
          <w:highlight w:val="none"/>
        </w:rPr>
        <w:t>年宿迁用电情况分析</w:t>
      </w:r>
      <w:bookmarkEnd w:id="71"/>
      <w:bookmarkEnd w:id="72"/>
    </w:p>
    <w:p>
      <w:pPr>
        <w:pStyle w:val="5"/>
        <w:pageBreakBefore w:val="0"/>
        <w:widowControl w:val="0"/>
        <w:numPr>
          <w:ilvl w:val="0"/>
          <w:numId w:val="0"/>
        </w:numPr>
        <w:tabs>
          <w:tab w:val="left" w:pos="432"/>
          <w:tab w:val="left" w:pos="576"/>
        </w:tabs>
        <w:kinsoku/>
        <w:wordWrap/>
        <w:overflowPunct/>
        <w:topLinePunct w:val="0"/>
        <w:autoSpaceDE/>
        <w:autoSpaceDN/>
        <w:bidi w:val="0"/>
        <w:adjustRightInd/>
        <w:snapToGrid/>
        <w:spacing w:before="0" w:after="0"/>
        <w:ind w:firstLine="643" w:firstLineChars="200"/>
        <w:textAlignment w:val="auto"/>
        <w:rPr>
          <w:rFonts w:hint="default" w:ascii="Times New Roman" w:hAnsi="Times New Roman" w:eastAsia="方正仿宋_GBK" w:cs="Times New Roman"/>
          <w:color w:val="auto"/>
          <w:kern w:val="2"/>
          <w:sz w:val="32"/>
          <w:szCs w:val="32"/>
          <w:highlight w:val="none"/>
        </w:rPr>
      </w:pPr>
      <w:bookmarkStart w:id="73" w:name="_Toc6387"/>
      <w:r>
        <w:rPr>
          <w:rFonts w:hint="default" w:ascii="Times New Roman" w:hAnsi="Times New Roman" w:eastAsia="方正仿宋_GBK" w:cs="Times New Roman"/>
          <w:color w:val="auto"/>
          <w:kern w:val="2"/>
          <w:sz w:val="32"/>
          <w:szCs w:val="32"/>
          <w:highlight w:val="none"/>
        </w:rPr>
        <w:t>1.气温变化情况</w:t>
      </w:r>
      <w:bookmarkEnd w:id="73"/>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default" w:ascii="Times New Roman" w:hAnsi="Times New Roman" w:eastAsia="方正仿宋_GBK" w:cs="Times New Roman"/>
          <w:color w:val="auto"/>
          <w:sz w:val="32"/>
          <w:szCs w:val="22"/>
          <w:highlight w:val="none"/>
          <w:lang w:val="en-US" w:eastAsia="zh-CN"/>
        </w:rPr>
      </w:pPr>
      <w:r>
        <w:rPr>
          <w:rFonts w:hint="default" w:ascii="Times New Roman" w:hAnsi="Times New Roman" w:eastAsia="方正仿宋_GBK" w:cs="Times New Roman"/>
          <w:color w:val="auto"/>
          <w:sz w:val="32"/>
          <w:szCs w:val="22"/>
          <w:highlight w:val="none"/>
          <w:lang w:val="en-US" w:eastAsia="zh-CN"/>
        </w:rPr>
        <w:t>2024年夏季出现极为罕见持续性高温天气，7月下旬起高温天气增多，29日、30日最高气温达到36℃，8月上旬高温天气持续，8月4日、5日最高气温达到了37℃。夏季最高气温达37.4℃，总高温日数和连续高温日数较23年同期分别增加18天和15天，高温综合强度比去年明显增强。8月中旬开始高温有所缓解，但仍有波动，整体气温在27℃-34℃左右。</w:t>
      </w:r>
    </w:p>
    <w:p>
      <w:pPr>
        <w:keepNext w:val="0"/>
        <w:keepLines w:val="0"/>
        <w:pageBreakBefore w:val="0"/>
        <w:widowControl w:val="0"/>
        <w:kinsoku/>
        <w:wordWrap/>
        <w:overflowPunct/>
        <w:topLinePunct w:val="0"/>
        <w:autoSpaceDE/>
        <w:autoSpaceDN/>
        <w:bidi w:val="0"/>
        <w:adjustRightInd/>
        <w:snapToGrid/>
        <w:spacing w:line="500" w:lineRule="exact"/>
        <w:ind w:firstLine="640"/>
        <w:textAlignment w:val="auto"/>
        <w:rPr>
          <w:rFonts w:hint="default" w:ascii="Times New Roman" w:hAnsi="Times New Roman" w:cs="Times New Roman"/>
          <w:color w:val="auto"/>
          <w:highlight w:val="none"/>
          <w:lang w:val="en-US" w:eastAsia="zh-CN"/>
        </w:rPr>
      </w:pPr>
      <w:r>
        <w:rPr>
          <w:rFonts w:hint="default" w:ascii="Times New Roman" w:hAnsi="Times New Roman" w:eastAsia="方正仿宋_GBK" w:cs="Times New Roman"/>
          <w:color w:val="auto"/>
          <w:sz w:val="32"/>
          <w:szCs w:val="32"/>
          <w:highlight w:val="none"/>
        </w:rPr>
        <w:t>202</w:t>
      </w:r>
      <w:r>
        <w:rPr>
          <w:rFonts w:hint="default" w:ascii="Times New Roman" w:hAnsi="Times New Roman" w:eastAsia="方正仿宋_GBK" w:cs="Times New Roman"/>
          <w:color w:val="auto"/>
          <w:sz w:val="32"/>
          <w:szCs w:val="32"/>
          <w:highlight w:val="none"/>
          <w:lang w:val="en-US" w:eastAsia="zh-CN"/>
        </w:rPr>
        <w:t>4</w:t>
      </w:r>
      <w:r>
        <w:rPr>
          <w:rFonts w:hint="default" w:ascii="Times New Roman" w:hAnsi="Times New Roman" w:eastAsia="方正仿宋_GBK" w:cs="Times New Roman"/>
          <w:color w:val="auto"/>
          <w:sz w:val="32"/>
          <w:szCs w:val="32"/>
          <w:highlight w:val="none"/>
        </w:rPr>
        <w:t>年冬</w:t>
      </w:r>
      <w:r>
        <w:rPr>
          <w:rFonts w:hint="default" w:ascii="Times New Roman" w:hAnsi="Times New Roman" w:eastAsia="方正仿宋_GBK" w:cs="Times New Roman"/>
          <w:color w:val="auto"/>
          <w:sz w:val="32"/>
          <w:szCs w:val="32"/>
          <w:highlight w:val="none"/>
          <w:lang w:eastAsia="zh-CN"/>
        </w:rPr>
        <w:t>季</w:t>
      </w:r>
      <w:r>
        <w:rPr>
          <w:rFonts w:hint="default" w:ascii="Times New Roman" w:hAnsi="Times New Roman" w:eastAsia="方正仿宋_GBK" w:cs="Times New Roman"/>
          <w:color w:val="auto"/>
          <w:sz w:val="32"/>
          <w:szCs w:val="32"/>
          <w:highlight w:val="none"/>
        </w:rPr>
        <w:t>宿迁平均气温</w:t>
      </w:r>
      <w:r>
        <w:rPr>
          <w:rFonts w:hint="default" w:ascii="Times New Roman" w:hAnsi="Times New Roman" w:eastAsia="方正仿宋_GBK" w:cs="Times New Roman"/>
          <w:color w:val="auto"/>
          <w:sz w:val="32"/>
          <w:szCs w:val="32"/>
          <w:highlight w:val="none"/>
          <w:lang w:eastAsia="zh-CN"/>
        </w:rPr>
        <w:t>较常年偏高</w:t>
      </w:r>
      <w:r>
        <w:rPr>
          <w:rFonts w:hint="default" w:ascii="Times New Roman" w:hAnsi="Times New Roman" w:eastAsia="方正仿宋_GBK" w:cs="Times New Roman"/>
          <w:color w:val="auto"/>
          <w:sz w:val="32"/>
          <w:szCs w:val="32"/>
          <w:highlight w:val="none"/>
          <w:lang w:val="en-US" w:eastAsia="zh-CN"/>
        </w:rPr>
        <w:t>1~2℃</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eastAsia="zh-CN"/>
        </w:rPr>
        <w:t>寒潮降温</w:t>
      </w:r>
      <w:r>
        <w:rPr>
          <w:rFonts w:hint="default" w:ascii="Times New Roman" w:hAnsi="Times New Roman" w:eastAsia="方正仿宋_GBK" w:cs="Times New Roman"/>
          <w:color w:val="auto"/>
          <w:sz w:val="32"/>
          <w:szCs w:val="32"/>
          <w:highlight w:val="none"/>
          <w:lang w:val="en-US" w:eastAsia="zh-CN"/>
        </w:rPr>
        <w:t>次数较往年偏少</w:t>
      </w:r>
      <w:r>
        <w:rPr>
          <w:rFonts w:hint="default" w:ascii="Times New Roman" w:hAnsi="Times New Roman" w:eastAsia="方正仿宋_GBK" w:cs="Times New Roman"/>
          <w:color w:val="auto"/>
          <w:sz w:val="32"/>
          <w:szCs w:val="32"/>
          <w:highlight w:val="none"/>
          <w:lang w:eastAsia="zh-CN"/>
        </w:rPr>
        <w:t>，且雨雪天气</w:t>
      </w:r>
      <w:r>
        <w:rPr>
          <w:rFonts w:hint="default" w:ascii="Times New Roman" w:hAnsi="Times New Roman" w:eastAsia="方正仿宋_GBK" w:cs="Times New Roman"/>
          <w:color w:val="auto"/>
          <w:sz w:val="32"/>
          <w:szCs w:val="32"/>
          <w:highlight w:val="none"/>
          <w:lang w:val="en-US" w:eastAsia="zh-CN"/>
        </w:rPr>
        <w:t>较少</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eastAsia="zh-CN"/>
        </w:rPr>
        <w:t>但最</w:t>
      </w:r>
      <w:r>
        <w:rPr>
          <w:rFonts w:hint="default" w:ascii="Times New Roman" w:hAnsi="Times New Roman" w:eastAsia="方正仿宋_GBK" w:cs="Times New Roman"/>
          <w:color w:val="auto"/>
          <w:sz w:val="32"/>
          <w:szCs w:val="32"/>
          <w:highlight w:val="none"/>
        </w:rPr>
        <w:t>低</w:t>
      </w:r>
      <w:r>
        <w:rPr>
          <w:rFonts w:hint="default" w:ascii="Times New Roman" w:hAnsi="Times New Roman" w:eastAsia="方正仿宋_GBK" w:cs="Times New Roman"/>
          <w:color w:val="auto"/>
          <w:sz w:val="32"/>
          <w:szCs w:val="32"/>
          <w:highlight w:val="none"/>
          <w:lang w:eastAsia="zh-CN"/>
        </w:rPr>
        <w:t>气温相比去年略高</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eastAsia="zh-CN"/>
        </w:rPr>
        <w:t>其中春运期间气温起伏显著，</w:t>
      </w:r>
      <w:r>
        <w:rPr>
          <w:rFonts w:hint="default" w:ascii="Times New Roman" w:hAnsi="Times New Roman" w:eastAsia="方正仿宋_GBK" w:cs="Times New Roman"/>
          <w:color w:val="auto"/>
          <w:sz w:val="32"/>
          <w:szCs w:val="32"/>
          <w:highlight w:val="none"/>
          <w:lang w:val="en-US" w:eastAsia="zh-CN"/>
        </w:rPr>
        <w:t>2025年1月中旬至2月下旬有4次降温过程，1月25日寒潮后气温持续偏低。</w:t>
      </w:r>
    </w:p>
    <w:p>
      <w:pPr>
        <w:keepNext w:val="0"/>
        <w:keepLines w:val="0"/>
        <w:pageBreakBefore w:val="0"/>
        <w:widowControl w:val="0"/>
        <w:kinsoku/>
        <w:wordWrap/>
        <w:overflowPunct/>
        <w:topLinePunct w:val="0"/>
        <w:autoSpaceDE/>
        <w:autoSpaceDN/>
        <w:bidi w:val="0"/>
        <w:adjustRightInd/>
        <w:snapToGrid/>
        <w:spacing w:line="500" w:lineRule="exact"/>
        <w:ind w:firstLine="640"/>
        <w:textAlignment w:val="auto"/>
        <w:rPr>
          <w:rFonts w:hint="default" w:ascii="Times New Roman" w:hAnsi="Times New Roman" w:eastAsia="方正仿宋_GBK" w:cs="Times New Roman"/>
          <w:b/>
          <w:color w:val="auto"/>
          <w:sz w:val="32"/>
          <w:szCs w:val="32"/>
          <w:highlight w:val="none"/>
        </w:rPr>
      </w:pPr>
      <w:r>
        <w:rPr>
          <w:rFonts w:hint="default" w:ascii="Times New Roman" w:hAnsi="Times New Roman" w:eastAsia="方正仿宋_GBK" w:cs="Times New Roman"/>
          <w:b/>
          <w:color w:val="auto"/>
          <w:sz w:val="32"/>
          <w:szCs w:val="32"/>
          <w:highlight w:val="none"/>
        </w:rPr>
        <w:t>2.全市用电情况</w:t>
      </w:r>
    </w:p>
    <w:p>
      <w:pPr>
        <w:keepNext w:val="0"/>
        <w:keepLines w:val="0"/>
        <w:pageBreakBefore w:val="0"/>
        <w:widowControl w:val="0"/>
        <w:kinsoku/>
        <w:wordWrap/>
        <w:overflowPunct/>
        <w:topLinePunct w:val="0"/>
        <w:autoSpaceDE/>
        <w:autoSpaceDN/>
        <w:bidi w:val="0"/>
        <w:adjustRightInd/>
        <w:snapToGrid/>
        <w:spacing w:line="500" w:lineRule="exact"/>
        <w:ind w:firstLine="561"/>
        <w:textAlignment w:val="auto"/>
        <w:rPr>
          <w:rFonts w:hint="default" w:ascii="Times New Roman" w:hAnsi="Times New Roman" w:eastAsia="方正仿宋_GBK" w:cs="Times New Roman"/>
          <w:color w:val="auto"/>
          <w:sz w:val="30"/>
          <w:szCs w:val="30"/>
          <w:highlight w:val="none"/>
          <w:lang w:val="en-US" w:eastAsia="zh-CN"/>
        </w:rPr>
      </w:pPr>
      <w:r>
        <w:rPr>
          <w:rFonts w:hint="default" w:ascii="Times New Roman" w:hAnsi="Times New Roman" w:eastAsia="方正仿宋_GBK" w:cs="Times New Roman"/>
          <w:color w:val="auto"/>
          <w:sz w:val="30"/>
          <w:szCs w:val="30"/>
          <w:highlight w:val="none"/>
          <w:lang w:val="en-US" w:eastAsia="zh-CN"/>
        </w:rPr>
        <w:t>2024年宿迁全网最高负荷599.7万千瓦（8月5日，历史新高），同比增长7.47%；地区最高日用电量12668万千瓦时（7月31日），同比增长10.01%，累计86天日用电量破亿，全年网供用电量290.49亿千瓦时，同比增长3.78%，全年全社会用电量339.92亿千瓦时，同比增长8.67%。</w:t>
      </w:r>
    </w:p>
    <w:p>
      <w:pPr>
        <w:pageBreakBefore w:val="0"/>
        <w:widowControl w:val="0"/>
        <w:kinsoku/>
        <w:wordWrap/>
        <w:overflowPunct/>
        <w:topLinePunct w:val="0"/>
        <w:autoSpaceDE/>
        <w:autoSpaceDN/>
        <w:bidi w:val="0"/>
        <w:adjustRightInd/>
        <w:snapToGrid/>
        <w:ind w:firstLine="640"/>
        <w:textAlignment w:val="auto"/>
        <w:rPr>
          <w:rFonts w:hint="default" w:ascii="Times New Roman" w:hAnsi="Times New Roman" w:eastAsia="方正仿宋_GBK" w:cs="Times New Roman"/>
          <w:color w:val="auto"/>
          <w:sz w:val="32"/>
          <w:szCs w:val="22"/>
          <w:highlight w:val="none"/>
          <w:lang w:val="en-US" w:eastAsia="zh-CN"/>
        </w:rPr>
      </w:pPr>
      <w:r>
        <w:rPr>
          <w:rFonts w:hint="default" w:ascii="Times New Roman" w:hAnsi="Times New Roman" w:eastAsia="方正仿宋_GBK" w:cs="Times New Roman"/>
          <w:color w:val="auto"/>
          <w:sz w:val="32"/>
          <w:szCs w:val="22"/>
          <w:highlight w:val="none"/>
          <w:lang w:val="en-US" w:eastAsia="zh-CN"/>
        </w:rPr>
        <w:t>2024年夏季最高负荷、基础负荷曲线如下图所示。</w:t>
      </w:r>
    </w:p>
    <w:p>
      <w:pPr>
        <w:spacing w:before="156" w:beforeLines="50"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4854575" cy="3229610"/>
            <wp:effectExtent l="0" t="0" r="3175" b="889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7"/>
                    <a:stretch>
                      <a:fillRect/>
                    </a:stretch>
                  </pic:blipFill>
                  <pic:spPr>
                    <a:xfrm>
                      <a:off x="0" y="0"/>
                      <a:ext cx="4854575" cy="3229610"/>
                    </a:xfrm>
                    <a:prstGeom prst="rect">
                      <a:avLst/>
                    </a:prstGeom>
                    <a:noFill/>
                    <a:ln w="9525">
                      <a:noFill/>
                    </a:ln>
                  </pic:spPr>
                </pic:pic>
              </a:graphicData>
            </a:graphic>
          </wp:inline>
        </w:drawing>
      </w:r>
    </w:p>
    <w:p>
      <w:pPr>
        <w:pStyle w:val="2"/>
        <w:ind w:firstLine="0" w:firstLineChars="0"/>
        <w:jc w:val="center"/>
        <w:rPr>
          <w:rFonts w:hint="eastAsia" w:ascii="黑体" w:hAnsi="黑体" w:eastAsia="黑体" w:cs="黑体"/>
          <w:b w:val="0"/>
          <w:bCs/>
          <w:color w:val="auto"/>
          <w:sz w:val="21"/>
          <w:szCs w:val="21"/>
          <w:highlight w:val="none"/>
        </w:rPr>
      </w:pPr>
      <w:r>
        <w:rPr>
          <w:rFonts w:hint="eastAsia" w:ascii="黑体" w:hAnsi="黑体" w:eastAsia="黑体" w:cs="黑体"/>
          <w:b w:val="0"/>
          <w:bCs/>
          <w:color w:val="auto"/>
          <w:kern w:val="0"/>
          <w:sz w:val="21"/>
          <w:szCs w:val="21"/>
          <w:highlight w:val="none"/>
          <w:lang w:val="en-US" w:eastAsia="zh-CN"/>
        </w:rPr>
        <w:t>图1：2024年夏季最高负荷、基础负荷曲线</w:t>
      </w:r>
    </w:p>
    <w:p>
      <w:pPr>
        <w:pStyle w:val="2"/>
        <w:ind w:firstLine="0" w:firstLineChars="0"/>
        <w:jc w:val="center"/>
        <w:rPr>
          <w:rFonts w:hint="default" w:ascii="黑体" w:hAnsi="黑体" w:eastAsia="黑体" w:cs="黑体"/>
          <w:b w:val="0"/>
          <w:bCs/>
          <w:color w:val="auto"/>
          <w:kern w:val="0"/>
          <w:sz w:val="21"/>
          <w:szCs w:val="21"/>
          <w:highlight w:val="none"/>
          <w:lang w:val="en-US" w:eastAsia="zh-CN"/>
        </w:rPr>
      </w:pPr>
      <w:r>
        <w:rPr>
          <w:rFonts w:hint="default" w:ascii="黑体" w:hAnsi="黑体" w:eastAsia="黑体" w:cs="黑体"/>
          <w:b w:val="0"/>
          <w:bCs/>
          <w:color w:val="auto"/>
          <w:kern w:val="0"/>
          <w:sz w:val="21"/>
          <w:szCs w:val="21"/>
          <w:highlight w:val="none"/>
          <w:lang w:val="en-US" w:eastAsia="zh-CN"/>
        </w:rPr>
        <w:drawing>
          <wp:anchor distT="0" distB="0" distL="114300" distR="114300" simplePos="0" relativeHeight="251662336" behindDoc="1" locked="0" layoutInCell="1" allowOverlap="1">
            <wp:simplePos x="0" y="0"/>
            <wp:positionH relativeFrom="column">
              <wp:posOffset>37465</wp:posOffset>
            </wp:positionH>
            <wp:positionV relativeFrom="paragraph">
              <wp:posOffset>176530</wp:posOffset>
            </wp:positionV>
            <wp:extent cx="5206365" cy="2539365"/>
            <wp:effectExtent l="0" t="0" r="13335" b="13335"/>
            <wp:wrapTight wrapText="bothSides">
              <wp:wrapPolygon>
                <wp:start x="0" y="0"/>
                <wp:lineTo x="0" y="21389"/>
                <wp:lineTo x="21497" y="21389"/>
                <wp:lineTo x="21497"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5206365" cy="2539365"/>
                    </a:xfrm>
                    <a:prstGeom prst="rect">
                      <a:avLst/>
                    </a:prstGeom>
                    <a:noFill/>
                    <a:ln>
                      <a:noFill/>
                    </a:ln>
                  </pic:spPr>
                </pic:pic>
              </a:graphicData>
            </a:graphic>
          </wp:anchor>
        </w:drawing>
      </w:r>
      <w:r>
        <w:rPr>
          <w:rFonts w:hint="default" w:ascii="黑体" w:hAnsi="黑体" w:eastAsia="黑体" w:cs="黑体"/>
          <w:b w:val="0"/>
          <w:bCs/>
          <w:color w:val="auto"/>
          <w:kern w:val="0"/>
          <w:sz w:val="21"/>
          <w:szCs w:val="21"/>
          <w:highlight w:val="none"/>
          <w:lang w:val="en-US" w:eastAsia="zh-CN"/>
        </w:rPr>
        <w:t>图2：2008-2024年调度负荷及增长情况（2023年及以后数据为全网数据）</w:t>
      </w:r>
    </w:p>
    <w:p>
      <w:pPr>
        <w:pStyle w:val="5"/>
        <w:ind w:firstLine="640"/>
        <w:rPr>
          <w:rFonts w:hint="default" w:ascii="Times New Roman" w:hAnsi="Times New Roman" w:eastAsia="方正仿宋_GBK" w:cs="Times New Roman"/>
          <w:color w:val="auto"/>
          <w:sz w:val="32"/>
          <w:szCs w:val="32"/>
          <w:highlight w:val="none"/>
        </w:rPr>
      </w:pPr>
      <w:bookmarkStart w:id="74" w:name="_Toc22107"/>
      <w:bookmarkStart w:id="75" w:name="_Toc23488"/>
      <w:r>
        <w:rPr>
          <w:rFonts w:hint="default" w:ascii="Times New Roman" w:hAnsi="Times New Roman" w:eastAsia="方正仿宋_GBK" w:cs="Times New Roman"/>
          <w:color w:val="auto"/>
          <w:sz w:val="32"/>
          <w:szCs w:val="32"/>
          <w:highlight w:val="none"/>
        </w:rPr>
        <w:t>3.2  202</w:t>
      </w:r>
      <w:r>
        <w:rPr>
          <w:rFonts w:hint="default" w:ascii="Times New Roman" w:hAnsi="Times New Roman" w:eastAsia="方正仿宋_GBK" w:cs="Times New Roman"/>
          <w:color w:val="auto"/>
          <w:sz w:val="32"/>
          <w:szCs w:val="32"/>
          <w:highlight w:val="none"/>
          <w:lang w:val="en-US" w:eastAsia="zh-CN"/>
        </w:rPr>
        <w:t>5</w:t>
      </w:r>
      <w:r>
        <w:rPr>
          <w:rFonts w:hint="default" w:ascii="Times New Roman" w:hAnsi="Times New Roman" w:eastAsia="方正仿宋_GBK" w:cs="Times New Roman"/>
          <w:color w:val="auto"/>
          <w:sz w:val="32"/>
          <w:szCs w:val="32"/>
          <w:highlight w:val="none"/>
        </w:rPr>
        <w:t>年全市电力供需分析</w:t>
      </w:r>
      <w:bookmarkEnd w:id="74"/>
      <w:bookmarkEnd w:id="75"/>
    </w:p>
    <w:p>
      <w:pPr>
        <w:shd w:val="clear"/>
        <w:ind w:firstLine="640"/>
        <w:rPr>
          <w:rFonts w:hint="default" w:ascii="Times New Roman" w:hAnsi="Times New Roman" w:eastAsia="方正仿宋_GBK" w:cs="Times New Roman"/>
          <w:b/>
          <w:color w:val="auto"/>
          <w:sz w:val="32"/>
          <w:szCs w:val="32"/>
          <w:highlight w:val="none"/>
        </w:rPr>
      </w:pPr>
      <w:r>
        <w:rPr>
          <w:rFonts w:hint="default" w:ascii="Times New Roman" w:hAnsi="Times New Roman" w:eastAsia="方正仿宋_GBK" w:cs="Times New Roman"/>
          <w:b/>
          <w:color w:val="auto"/>
          <w:sz w:val="32"/>
          <w:szCs w:val="32"/>
          <w:highlight w:val="none"/>
        </w:rPr>
        <w:t>1.宿迁市经济运行主要预期目标及举措</w:t>
      </w:r>
    </w:p>
    <w:p>
      <w:pPr>
        <w:numPr>
          <w:ilvl w:val="0"/>
          <w:numId w:val="0"/>
        </w:numPr>
        <w:ind w:leftChars="0" w:firstLine="640" w:firstLineChars="200"/>
        <w:rPr>
          <w:rFonts w:hint="default" w:ascii="Times New Roman" w:hAnsi="Times New Roman" w:eastAsia="方正仿宋_GBK" w:cs="Times New Roman"/>
          <w:color w:val="auto"/>
          <w:sz w:val="32"/>
          <w:szCs w:val="32"/>
          <w:highlight w:val="none"/>
          <w:lang w:eastAsia="zh-CN"/>
        </w:rPr>
      </w:pPr>
      <w:r>
        <w:rPr>
          <w:rFonts w:hint="default" w:ascii="Times New Roman" w:hAnsi="Times New Roman" w:eastAsia="方正仿宋_GBK" w:cs="Times New Roman"/>
          <w:color w:val="auto"/>
          <w:sz w:val="32"/>
          <w:szCs w:val="32"/>
          <w:highlight w:val="none"/>
        </w:rPr>
        <w:t>根据宿迁市政府202</w:t>
      </w:r>
      <w:r>
        <w:rPr>
          <w:rFonts w:hint="default" w:ascii="Times New Roman" w:hAnsi="Times New Roman" w:eastAsia="方正仿宋_GBK" w:cs="Times New Roman"/>
          <w:color w:val="auto"/>
          <w:sz w:val="32"/>
          <w:szCs w:val="32"/>
          <w:highlight w:val="none"/>
          <w:lang w:val="en-US" w:eastAsia="zh-CN"/>
        </w:rPr>
        <w:t>5</w:t>
      </w:r>
      <w:r>
        <w:rPr>
          <w:rFonts w:hint="default" w:ascii="Times New Roman" w:hAnsi="Times New Roman" w:eastAsia="方正仿宋_GBK" w:cs="Times New Roman"/>
          <w:color w:val="auto"/>
          <w:sz w:val="32"/>
          <w:szCs w:val="32"/>
          <w:highlight w:val="none"/>
        </w:rPr>
        <w:t>年工作报告，我市</w:t>
      </w:r>
      <w:r>
        <w:rPr>
          <w:rFonts w:hint="default" w:ascii="Times New Roman" w:hAnsi="Times New Roman" w:eastAsia="方正仿宋_GBK" w:cs="Times New Roman"/>
          <w:color w:val="auto"/>
          <w:sz w:val="32"/>
          <w:szCs w:val="32"/>
          <w:highlight w:val="none"/>
          <w:lang w:eastAsia="zh-CN"/>
        </w:rPr>
        <w:t>将</w:t>
      </w:r>
      <w:r>
        <w:rPr>
          <w:rFonts w:hint="default" w:ascii="Times New Roman" w:hAnsi="Times New Roman" w:eastAsia="方正仿宋_GBK" w:cs="Times New Roman"/>
          <w:color w:val="auto"/>
          <w:sz w:val="32"/>
          <w:szCs w:val="32"/>
          <w:highlight w:val="none"/>
        </w:rPr>
        <w:t>进一步提升投资规模、效益和牵引力</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开展“招商引资提效年”活动，优化招商体系，创新链式、场景等招商模式，放大“一节一会”影响力，建立“全生命周期”一体化考核机制，全年新落户亿元以上工业项目450个以上，推进424个重大产业项目和26个列省重大项目竣工投产</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攻坚154个中心城市建设重点工程，完成投资231亿元，市民活动中心等62个项目建成投用。攻坚突破绿色食品产业，年内产值迈上千亿台阶。巩固提升高端纺织产业，年内产值达1100亿元。支持天合光能、龙恒新能源等企业稳产扩产，推进时代储能、江松科技等14个项目建设，四象新能源、固铭动力等9个项目竣工投产</w:t>
      </w:r>
      <w:r>
        <w:rPr>
          <w:rFonts w:hint="default" w:ascii="Times New Roman" w:hAnsi="Times New Roman" w:eastAsia="方正仿宋_GBK" w:cs="Times New Roman"/>
          <w:color w:val="auto"/>
          <w:sz w:val="32"/>
          <w:szCs w:val="32"/>
          <w:highlight w:val="none"/>
          <w:lang w:eastAsia="zh-CN"/>
        </w:rPr>
        <w:t>等。</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目前，宿迁已建成国家级经开区2家、国家级高新区1家、省级开发区4家，产业集聚效应凸显。电网总体上呈“两极增长、三片发展”的格局（两极指以市开发区、沭阳开发区为代表的负荷增长极，三片指中片市区、东片沭阳县、南片泗阳泗洪电网），宿迁负荷较大比例</w:t>
      </w:r>
      <w:r>
        <w:rPr>
          <w:rFonts w:hint="eastAsia" w:ascii="Times New Roman" w:hAnsi="Times New Roman" w:eastAsia="方正仿宋_GBK" w:cs="Times New Roman"/>
          <w:color w:val="auto"/>
          <w:sz w:val="32"/>
          <w:szCs w:val="32"/>
          <w:highlight w:val="none"/>
          <w:lang w:eastAsia="zh-CN"/>
        </w:rPr>
        <w:t>来自</w:t>
      </w:r>
      <w:r>
        <w:rPr>
          <w:rFonts w:hint="default" w:ascii="Times New Roman" w:hAnsi="Times New Roman" w:eastAsia="方正仿宋_GBK" w:cs="Times New Roman"/>
          <w:color w:val="auto"/>
          <w:sz w:val="32"/>
          <w:szCs w:val="32"/>
          <w:highlight w:val="none"/>
        </w:rPr>
        <w:t>市区和沭阳县负荷，占比达到全市负荷的70%。</w:t>
      </w:r>
    </w:p>
    <w:p>
      <w:pPr>
        <w:pStyle w:val="5"/>
        <w:ind w:firstLine="640"/>
        <w:rPr>
          <w:rFonts w:hint="default" w:ascii="Times New Roman" w:hAnsi="Times New Roman" w:eastAsia="方正仿宋_GBK" w:cs="Times New Roman"/>
          <w:color w:val="auto"/>
          <w:sz w:val="32"/>
          <w:szCs w:val="32"/>
          <w:highlight w:val="none"/>
        </w:rPr>
      </w:pPr>
      <w:bookmarkStart w:id="76" w:name="_Toc29816"/>
      <w:r>
        <w:rPr>
          <w:rFonts w:hint="default" w:ascii="Times New Roman" w:hAnsi="Times New Roman" w:eastAsia="方正仿宋_GBK" w:cs="Times New Roman"/>
          <w:color w:val="auto"/>
          <w:sz w:val="32"/>
          <w:szCs w:val="32"/>
          <w:highlight w:val="none"/>
        </w:rPr>
        <w:t>2.业扩报装情况</w:t>
      </w:r>
      <w:bookmarkEnd w:id="76"/>
    </w:p>
    <w:p>
      <w:pPr>
        <w:pStyle w:val="2"/>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202</w:t>
      </w:r>
      <w:r>
        <w:rPr>
          <w:rFonts w:hint="default" w:ascii="Times New Roman" w:hAnsi="Times New Roman" w:eastAsia="方正仿宋_GBK" w:cs="Times New Roman"/>
          <w:color w:val="auto"/>
          <w:sz w:val="32"/>
          <w:szCs w:val="32"/>
          <w:highlight w:val="none"/>
          <w:lang w:val="en-US" w:eastAsia="zh-CN"/>
        </w:rPr>
        <w:t>4</w:t>
      </w:r>
      <w:r>
        <w:rPr>
          <w:rFonts w:hint="default" w:ascii="Times New Roman" w:hAnsi="Times New Roman" w:eastAsia="方正仿宋_GBK" w:cs="Times New Roman"/>
          <w:color w:val="auto"/>
          <w:sz w:val="32"/>
          <w:szCs w:val="32"/>
          <w:highlight w:val="none"/>
        </w:rPr>
        <w:t>年，宿迁业扩报装总体完成量呈现下降趋势，共受理各类业扩申请</w:t>
      </w:r>
      <w:r>
        <w:rPr>
          <w:rFonts w:hint="default" w:ascii="Times New Roman" w:hAnsi="Times New Roman" w:eastAsia="方正仿宋_GBK" w:cs="Times New Roman"/>
          <w:color w:val="auto"/>
          <w:sz w:val="32"/>
          <w:szCs w:val="32"/>
          <w:highlight w:val="none"/>
          <w:lang w:val="en-US" w:eastAsia="zh-CN"/>
        </w:rPr>
        <w:t>17.23</w:t>
      </w:r>
      <w:r>
        <w:rPr>
          <w:rFonts w:hint="default" w:ascii="Times New Roman" w:hAnsi="Times New Roman" w:eastAsia="方正仿宋_GBK" w:cs="Times New Roman"/>
          <w:color w:val="auto"/>
          <w:sz w:val="32"/>
          <w:szCs w:val="32"/>
          <w:highlight w:val="none"/>
        </w:rPr>
        <w:t>万户，申请容量441.76万千伏安，相较202</w:t>
      </w:r>
      <w:r>
        <w:rPr>
          <w:rFonts w:hint="default" w:ascii="Times New Roman" w:hAnsi="Times New Roman"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sz w:val="32"/>
          <w:szCs w:val="32"/>
          <w:highlight w:val="none"/>
        </w:rPr>
        <w:t>年申请容量下降</w:t>
      </w:r>
      <w:r>
        <w:rPr>
          <w:rFonts w:hint="default" w:ascii="Times New Roman" w:hAnsi="Times New Roman" w:eastAsia="方正仿宋_GBK" w:cs="Times New Roman"/>
          <w:color w:val="auto"/>
          <w:sz w:val="32"/>
          <w:szCs w:val="32"/>
          <w:highlight w:val="none"/>
          <w:lang w:val="en-US" w:eastAsia="zh-CN"/>
        </w:rPr>
        <w:t>6.39</w:t>
      </w:r>
      <w:r>
        <w:rPr>
          <w:rFonts w:hint="default" w:ascii="Times New Roman" w:hAnsi="Times New Roman" w:eastAsia="方正仿宋_GBK" w:cs="Times New Roman"/>
          <w:color w:val="auto"/>
          <w:sz w:val="32"/>
          <w:szCs w:val="32"/>
          <w:highlight w:val="none"/>
        </w:rPr>
        <w:t>%。完成报装17.04万户，容量399.61万千伏安，相较202</w:t>
      </w:r>
      <w:r>
        <w:rPr>
          <w:rFonts w:hint="default" w:ascii="Times New Roman" w:hAnsi="Times New Roman"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sz w:val="32"/>
          <w:szCs w:val="32"/>
          <w:highlight w:val="none"/>
        </w:rPr>
        <w:t>年</w:t>
      </w:r>
      <w:r>
        <w:rPr>
          <w:rFonts w:hint="default" w:ascii="Times New Roman" w:hAnsi="Times New Roman" w:eastAsia="方正仿宋_GBK" w:cs="Times New Roman"/>
          <w:color w:val="auto"/>
          <w:sz w:val="32"/>
          <w:szCs w:val="32"/>
          <w:highlight w:val="none"/>
          <w:lang w:eastAsia="zh-CN"/>
        </w:rPr>
        <w:t>完成</w:t>
      </w:r>
      <w:r>
        <w:rPr>
          <w:rFonts w:hint="default" w:ascii="Times New Roman" w:hAnsi="Times New Roman" w:eastAsia="方正仿宋_GBK" w:cs="Times New Roman"/>
          <w:color w:val="auto"/>
          <w:sz w:val="32"/>
          <w:szCs w:val="32"/>
          <w:highlight w:val="none"/>
        </w:rPr>
        <w:t>容量下降12.46%。</w:t>
      </w:r>
    </w:p>
    <w:p>
      <w:pPr>
        <w:pStyle w:val="5"/>
        <w:numPr>
          <w:ilvl w:val="1"/>
          <w:numId w:val="0"/>
        </w:numPr>
        <w:ind w:leftChars="200"/>
        <w:rPr>
          <w:rFonts w:hint="default" w:ascii="Times New Roman" w:hAnsi="Times New Roman" w:cs="Times New Roman"/>
          <w:color w:val="auto"/>
          <w:highlight w:val="none"/>
        </w:rPr>
      </w:pPr>
      <w:r>
        <w:rPr>
          <w:rFonts w:hint="default" w:ascii="Times New Roman" w:hAnsi="Times New Roman" w:eastAsia="方正仿宋_GBK" w:cs="Times New Roman"/>
          <w:color w:val="auto"/>
          <w:sz w:val="32"/>
          <w:szCs w:val="32"/>
          <w:highlight w:val="none"/>
          <w:lang w:val="en-US" w:eastAsia="zh-CN"/>
        </w:rPr>
        <w:t>3.新能源发展</w:t>
      </w:r>
      <w:r>
        <w:rPr>
          <w:rFonts w:hint="default" w:ascii="Times New Roman" w:hAnsi="Times New Roman" w:eastAsia="方正仿宋_GBK" w:cs="Times New Roman"/>
          <w:color w:val="auto"/>
          <w:sz w:val="32"/>
          <w:szCs w:val="32"/>
          <w:highlight w:val="none"/>
        </w:rPr>
        <w:t>情况</w:t>
      </w:r>
    </w:p>
    <w:p>
      <w:pPr>
        <w:adjustRightInd w:val="0"/>
        <w:snapToGrid w:val="0"/>
        <w:spacing w:line="560" w:lineRule="exact"/>
        <w:ind w:firstLine="643"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b/>
          <w:color w:val="auto"/>
          <w:sz w:val="32"/>
          <w:szCs w:val="32"/>
          <w:highlight w:val="none"/>
        </w:rPr>
        <w:t>发展现状</w:t>
      </w:r>
      <w:r>
        <w:rPr>
          <w:rFonts w:hint="default" w:ascii="Times New Roman" w:hAnsi="Times New Roman" w:eastAsia="方正仿宋_GBK" w:cs="Times New Roman"/>
          <w:b/>
          <w:color w:val="auto"/>
          <w:sz w:val="32"/>
          <w:szCs w:val="32"/>
          <w:highlight w:val="none"/>
          <w:lang w:eastAsia="zh-CN"/>
        </w:rPr>
        <w:t>：</w:t>
      </w:r>
      <w:r>
        <w:rPr>
          <w:rFonts w:hint="default" w:ascii="Times New Roman" w:hAnsi="Times New Roman" w:eastAsia="方正仿宋_GBK" w:cs="Times New Roman"/>
          <w:b w:val="0"/>
          <w:bCs/>
          <w:color w:val="auto"/>
          <w:sz w:val="32"/>
          <w:szCs w:val="32"/>
          <w:highlight w:val="none"/>
          <w:lang w:eastAsia="zh-CN"/>
        </w:rPr>
        <w:t>政策驱动下的快速扩张</w:t>
      </w:r>
      <w:r>
        <w:rPr>
          <w:rFonts w:hint="eastAsia" w:ascii="Times New Roman" w:hAnsi="Times New Roman" w:eastAsia="方正仿宋_GBK" w:cs="Times New Roman"/>
          <w:b w:val="0"/>
          <w:bCs/>
          <w:color w:val="auto"/>
          <w:sz w:val="32"/>
          <w:szCs w:val="32"/>
          <w:highlight w:val="none"/>
          <w:lang w:eastAsia="zh-CN"/>
        </w:rPr>
        <w:t>。</w:t>
      </w:r>
      <w:r>
        <w:rPr>
          <w:rFonts w:hint="default" w:ascii="Times New Roman" w:hAnsi="Times New Roman" w:eastAsia="方正仿宋_GBK" w:cs="Times New Roman"/>
          <w:b/>
          <w:color w:val="auto"/>
          <w:sz w:val="32"/>
          <w:szCs w:val="32"/>
          <w:highlight w:val="none"/>
        </w:rPr>
        <w:t>一是新能源以光伏为主。</w:t>
      </w:r>
      <w:r>
        <w:rPr>
          <w:rFonts w:hint="eastAsia" w:ascii="Times New Roman" w:hAnsi="Times New Roman" w:eastAsia="方正仿宋_GBK" w:cs="Times New Roman"/>
          <w:b/>
          <w:color w:val="auto"/>
          <w:sz w:val="32"/>
          <w:szCs w:val="32"/>
          <w:highlight w:val="none"/>
          <w:lang w:eastAsia="zh-CN"/>
        </w:rPr>
        <w:t>截至</w:t>
      </w:r>
      <w:r>
        <w:rPr>
          <w:rFonts w:hint="default" w:ascii="Times New Roman" w:hAnsi="Times New Roman" w:eastAsia="方正仿宋_GBK" w:cs="Times New Roman"/>
          <w:color w:val="auto"/>
          <w:sz w:val="32"/>
          <w:szCs w:val="32"/>
          <w:highlight w:val="none"/>
          <w:lang w:val="en-US" w:eastAsia="zh-CN"/>
        </w:rPr>
        <w:t>2024年</w:t>
      </w:r>
      <w:r>
        <w:rPr>
          <w:rFonts w:hint="default" w:ascii="Times New Roman" w:hAnsi="Times New Roman" w:eastAsia="方正仿宋_GBK" w:cs="Times New Roman"/>
          <w:color w:val="auto"/>
          <w:sz w:val="32"/>
          <w:szCs w:val="32"/>
          <w:highlight w:val="none"/>
        </w:rPr>
        <w:t>底，全市光伏装机</w:t>
      </w:r>
      <w:r>
        <w:rPr>
          <w:rFonts w:hint="default" w:ascii="Times New Roman" w:hAnsi="Times New Roman" w:eastAsia="方正仿宋_GBK" w:cs="Times New Roman"/>
          <w:color w:val="auto"/>
          <w:sz w:val="32"/>
          <w:szCs w:val="32"/>
          <w:highlight w:val="none"/>
          <w:lang w:val="en-US" w:eastAsia="zh-CN"/>
        </w:rPr>
        <w:t>505.03</w:t>
      </w:r>
      <w:r>
        <w:rPr>
          <w:rFonts w:hint="default" w:ascii="Times New Roman" w:hAnsi="Times New Roman" w:eastAsia="方正仿宋_GBK" w:cs="Times New Roman"/>
          <w:color w:val="auto"/>
          <w:sz w:val="32"/>
          <w:szCs w:val="32"/>
          <w:highlight w:val="none"/>
        </w:rPr>
        <w:t>万千瓦、风电</w:t>
      </w:r>
      <w:r>
        <w:rPr>
          <w:rFonts w:hint="default" w:ascii="Times New Roman" w:hAnsi="Times New Roman" w:eastAsia="方正仿宋_GBK" w:cs="Times New Roman"/>
          <w:color w:val="auto"/>
          <w:sz w:val="32"/>
          <w:szCs w:val="32"/>
          <w:highlight w:val="none"/>
          <w:lang w:val="en-US" w:eastAsia="zh-CN"/>
        </w:rPr>
        <w:t>装机</w:t>
      </w:r>
      <w:r>
        <w:rPr>
          <w:rFonts w:hint="default" w:ascii="Times New Roman" w:hAnsi="Times New Roman" w:eastAsia="方正仿宋_GBK" w:cs="Times New Roman"/>
          <w:color w:val="auto"/>
          <w:sz w:val="32"/>
          <w:szCs w:val="32"/>
          <w:highlight w:val="none"/>
        </w:rPr>
        <w:t>31.46万千瓦，风电光伏新能源装机占全市电源总装机</w:t>
      </w:r>
      <w:r>
        <w:rPr>
          <w:rFonts w:hint="default" w:ascii="Times New Roman" w:hAnsi="Times New Roman" w:eastAsia="方正仿宋_GBK" w:cs="Times New Roman"/>
          <w:color w:val="auto"/>
          <w:sz w:val="32"/>
          <w:szCs w:val="32"/>
          <w:highlight w:val="none"/>
          <w:lang w:val="en-US" w:eastAsia="zh-CN"/>
        </w:rPr>
        <w:t>707.52</w:t>
      </w:r>
      <w:r>
        <w:rPr>
          <w:rFonts w:hint="default" w:ascii="Times New Roman" w:hAnsi="Times New Roman" w:eastAsia="方正仿宋_GBK" w:cs="Times New Roman"/>
          <w:color w:val="auto"/>
          <w:sz w:val="32"/>
          <w:szCs w:val="32"/>
          <w:highlight w:val="none"/>
        </w:rPr>
        <w:t>万千瓦的</w:t>
      </w:r>
      <w:r>
        <w:rPr>
          <w:rFonts w:hint="default" w:ascii="Times New Roman" w:hAnsi="Times New Roman" w:eastAsia="方正仿宋_GBK" w:cs="Times New Roman"/>
          <w:color w:val="auto"/>
          <w:sz w:val="32"/>
          <w:szCs w:val="32"/>
          <w:highlight w:val="none"/>
          <w:lang w:val="en-US" w:eastAsia="zh-CN"/>
        </w:rPr>
        <w:t>75.82</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2024年</w:t>
      </w:r>
      <w:r>
        <w:rPr>
          <w:rFonts w:hint="default" w:ascii="Times New Roman" w:hAnsi="Times New Roman" w:eastAsia="方正仿宋_GBK" w:cs="Times New Roman"/>
          <w:color w:val="auto"/>
          <w:sz w:val="32"/>
          <w:szCs w:val="32"/>
          <w:highlight w:val="none"/>
        </w:rPr>
        <w:t>全市风电光伏新能源发电量</w:t>
      </w:r>
      <w:r>
        <w:rPr>
          <w:rFonts w:hint="default" w:ascii="Times New Roman" w:hAnsi="Times New Roman" w:eastAsia="方正仿宋_GBK" w:cs="Times New Roman"/>
          <w:color w:val="auto"/>
          <w:sz w:val="32"/>
          <w:szCs w:val="32"/>
          <w:highlight w:val="none"/>
          <w:lang w:val="en-US" w:eastAsia="zh-CN"/>
        </w:rPr>
        <w:t>62.35</w:t>
      </w:r>
      <w:r>
        <w:rPr>
          <w:rFonts w:hint="default" w:ascii="Times New Roman" w:hAnsi="Times New Roman" w:eastAsia="方正仿宋_GBK" w:cs="Times New Roman"/>
          <w:color w:val="auto"/>
          <w:sz w:val="32"/>
          <w:szCs w:val="32"/>
          <w:highlight w:val="none"/>
        </w:rPr>
        <w:t>亿千瓦时，占全社会用电量的</w:t>
      </w:r>
      <w:r>
        <w:rPr>
          <w:rFonts w:hint="default" w:ascii="Times New Roman" w:hAnsi="Times New Roman" w:eastAsia="方正仿宋_GBK" w:cs="Times New Roman"/>
          <w:color w:val="auto"/>
          <w:sz w:val="32"/>
          <w:szCs w:val="32"/>
          <w:highlight w:val="none"/>
          <w:lang w:val="en-US" w:eastAsia="zh-CN"/>
        </w:rPr>
        <w:t>18.34</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b/>
          <w:color w:val="auto"/>
          <w:sz w:val="32"/>
          <w:szCs w:val="32"/>
          <w:highlight w:val="none"/>
          <w:lang w:eastAsia="zh-CN"/>
        </w:rPr>
        <w:t>二</w:t>
      </w:r>
      <w:r>
        <w:rPr>
          <w:rFonts w:hint="default" w:ascii="Times New Roman" w:hAnsi="Times New Roman" w:eastAsia="方正仿宋_GBK" w:cs="Times New Roman"/>
          <w:b/>
          <w:color w:val="auto"/>
          <w:sz w:val="32"/>
          <w:szCs w:val="32"/>
          <w:highlight w:val="none"/>
        </w:rPr>
        <w:t>是分布式光伏装机快速增加。</w:t>
      </w:r>
      <w:r>
        <w:rPr>
          <w:rFonts w:hint="eastAsia" w:ascii="Times New Roman" w:hAnsi="Times New Roman" w:eastAsia="方正仿宋_GBK" w:cs="Times New Roman"/>
          <w:b/>
          <w:color w:val="auto"/>
          <w:sz w:val="32"/>
          <w:szCs w:val="32"/>
          <w:highlight w:val="none"/>
          <w:lang w:eastAsia="zh-CN"/>
        </w:rPr>
        <w:t>截至</w:t>
      </w:r>
      <w:r>
        <w:rPr>
          <w:rFonts w:hint="default" w:ascii="Times New Roman" w:hAnsi="Times New Roman" w:eastAsia="方正仿宋_GBK" w:cs="Times New Roman"/>
          <w:color w:val="auto"/>
          <w:sz w:val="32"/>
          <w:szCs w:val="32"/>
          <w:highlight w:val="none"/>
        </w:rPr>
        <w:t>2024年底，全市分布式光伏装机260.2万千瓦，达到光伏总装机的51.52%，占比较2020年增加了33.24个百分点。相较于2020年</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全市工商业、居民分布式光伏装机分别增加了96.65万千瓦、116.64万千瓦，增长率分别达到320.12%、1613.28%。</w:t>
      </w:r>
    </w:p>
    <w:p>
      <w:pPr>
        <w:adjustRightInd w:val="0"/>
        <w:snapToGrid w:val="0"/>
        <w:spacing w:line="560" w:lineRule="exact"/>
        <w:ind w:firstLine="643" w:firstLineChars="200"/>
        <w:rPr>
          <w:rFonts w:hint="default" w:ascii="Times New Roman" w:hAnsi="Times New Roman" w:eastAsia="方正仿宋_GBK" w:cs="Times New Roman"/>
          <w:b/>
          <w:bCs/>
          <w:color w:val="auto"/>
          <w:sz w:val="32"/>
          <w:szCs w:val="32"/>
          <w:highlight w:val="none"/>
          <w:lang w:val="en-US" w:eastAsia="zh-CN"/>
        </w:rPr>
      </w:pPr>
      <w:r>
        <w:rPr>
          <w:rFonts w:hint="default" w:ascii="Times New Roman" w:hAnsi="Times New Roman" w:eastAsia="方正仿宋_GBK" w:cs="Times New Roman"/>
          <w:b/>
          <w:color w:val="auto"/>
          <w:sz w:val="32"/>
          <w:szCs w:val="32"/>
          <w:highlight w:val="none"/>
          <w:lang w:val="en-US" w:eastAsia="zh-CN"/>
        </w:rPr>
        <w:t>发展</w:t>
      </w:r>
      <w:r>
        <w:rPr>
          <w:rFonts w:hint="default" w:ascii="Times New Roman" w:hAnsi="Times New Roman" w:eastAsia="方正仿宋_GBK" w:cs="Times New Roman"/>
          <w:b/>
          <w:color w:val="auto"/>
          <w:sz w:val="32"/>
          <w:szCs w:val="32"/>
          <w:highlight w:val="none"/>
        </w:rPr>
        <w:t>规划</w:t>
      </w:r>
      <w:r>
        <w:rPr>
          <w:rFonts w:hint="default" w:ascii="Times New Roman" w:hAnsi="Times New Roman" w:eastAsia="方正仿宋_GBK" w:cs="Times New Roman"/>
          <w:b/>
          <w:color w:val="auto"/>
          <w:sz w:val="32"/>
          <w:szCs w:val="32"/>
          <w:highlight w:val="none"/>
          <w:lang w:eastAsia="zh-CN"/>
        </w:rPr>
        <w:t>：</w:t>
      </w:r>
      <w:r>
        <w:rPr>
          <w:rFonts w:hint="default" w:ascii="Times New Roman" w:hAnsi="Times New Roman" w:eastAsia="方正仿宋_GBK" w:cs="Times New Roman"/>
          <w:b w:val="0"/>
          <w:bCs/>
          <w:color w:val="auto"/>
          <w:sz w:val="32"/>
          <w:szCs w:val="32"/>
          <w:highlight w:val="none"/>
          <w:lang w:eastAsia="zh-CN"/>
        </w:rPr>
        <w:t>江苏省在“十四五”期间明确提出加快构建新型电力系统，支持新能源就地消纳。受益于省级政策倾斜，2025年</w:t>
      </w:r>
      <w:r>
        <w:rPr>
          <w:rFonts w:hint="default" w:ascii="Times New Roman" w:hAnsi="Times New Roman" w:eastAsia="方正仿宋_GBK" w:cs="Times New Roman"/>
          <w:b w:val="0"/>
          <w:bCs/>
          <w:color w:val="auto"/>
          <w:sz w:val="32"/>
          <w:szCs w:val="32"/>
          <w:highlight w:val="none"/>
          <w:lang w:val="en-US" w:eastAsia="zh-CN"/>
        </w:rPr>
        <w:t>全市新能源</w:t>
      </w:r>
      <w:r>
        <w:rPr>
          <w:rFonts w:hint="default" w:ascii="Times New Roman" w:hAnsi="Times New Roman" w:eastAsia="方正仿宋_GBK" w:cs="Times New Roman"/>
          <w:b w:val="0"/>
          <w:bCs/>
          <w:color w:val="auto"/>
          <w:sz w:val="32"/>
          <w:szCs w:val="32"/>
          <w:highlight w:val="none"/>
          <w:lang w:eastAsia="zh-CN"/>
        </w:rPr>
        <w:t>接网消纳服务</w:t>
      </w:r>
      <w:r>
        <w:rPr>
          <w:rFonts w:hint="default" w:ascii="Times New Roman" w:hAnsi="Times New Roman" w:eastAsia="方正仿宋_GBK" w:cs="Times New Roman"/>
          <w:b w:val="0"/>
          <w:bCs/>
          <w:color w:val="auto"/>
          <w:sz w:val="32"/>
          <w:szCs w:val="32"/>
          <w:highlight w:val="none"/>
          <w:lang w:val="en-US" w:eastAsia="zh-CN"/>
        </w:rPr>
        <w:t>将保持持续增加</w:t>
      </w:r>
      <w:r>
        <w:rPr>
          <w:rFonts w:hint="default" w:ascii="Times New Roman" w:hAnsi="Times New Roman" w:eastAsia="方正仿宋_GBK" w:cs="Times New Roman"/>
          <w:b w:val="0"/>
          <w:bCs/>
          <w:color w:val="auto"/>
          <w:sz w:val="32"/>
          <w:szCs w:val="32"/>
          <w:highlight w:val="none"/>
          <w:lang w:eastAsia="zh-CN"/>
        </w:rPr>
        <w:t>。</w:t>
      </w:r>
      <w:r>
        <w:rPr>
          <w:rFonts w:hint="default" w:ascii="Times New Roman" w:hAnsi="Times New Roman" w:eastAsia="方正仿宋_GBK" w:cs="Times New Roman"/>
          <w:b/>
          <w:color w:val="auto"/>
          <w:sz w:val="32"/>
          <w:szCs w:val="32"/>
          <w:highlight w:val="none"/>
        </w:rPr>
        <w:t>一是</w:t>
      </w:r>
      <w:r>
        <w:rPr>
          <w:rFonts w:hint="default" w:ascii="Times New Roman" w:hAnsi="Times New Roman" w:eastAsia="方正仿宋_GBK" w:cs="Times New Roman"/>
          <w:b/>
          <w:color w:val="auto"/>
          <w:sz w:val="32"/>
          <w:szCs w:val="32"/>
          <w:highlight w:val="none"/>
          <w:lang w:eastAsia="zh-CN"/>
        </w:rPr>
        <w:t>集中式</w:t>
      </w:r>
      <w:r>
        <w:rPr>
          <w:rFonts w:hint="default" w:ascii="Times New Roman" w:hAnsi="Times New Roman" w:eastAsia="方正仿宋_GBK" w:cs="Times New Roman"/>
          <w:b/>
          <w:color w:val="auto"/>
          <w:sz w:val="32"/>
          <w:szCs w:val="32"/>
          <w:highlight w:val="none"/>
        </w:rPr>
        <w:t>光伏</w:t>
      </w:r>
      <w:r>
        <w:rPr>
          <w:rFonts w:hint="default" w:ascii="Times New Roman" w:hAnsi="Times New Roman" w:eastAsia="方正仿宋_GBK" w:cs="Times New Roman"/>
          <w:b/>
          <w:color w:val="auto"/>
          <w:sz w:val="32"/>
          <w:szCs w:val="32"/>
          <w:highlight w:val="none"/>
          <w:lang w:eastAsia="zh-CN"/>
        </w:rPr>
        <w:t>方面</w:t>
      </w:r>
      <w:r>
        <w:rPr>
          <w:rFonts w:hint="default" w:ascii="Times New Roman" w:hAnsi="Times New Roman" w:eastAsia="方正仿宋_GBK" w:cs="Times New Roman"/>
          <w:b/>
          <w:color w:val="auto"/>
          <w:sz w:val="32"/>
          <w:szCs w:val="32"/>
          <w:highlight w:val="none"/>
        </w:rPr>
        <w:t>。</w:t>
      </w:r>
      <w:r>
        <w:rPr>
          <w:rFonts w:hint="default" w:ascii="Times New Roman" w:hAnsi="Times New Roman" w:eastAsia="方正仿宋_GBK" w:cs="Times New Roman"/>
          <w:color w:val="auto"/>
          <w:sz w:val="32"/>
          <w:szCs w:val="32"/>
          <w:highlight w:val="none"/>
          <w:lang w:eastAsia="zh-CN"/>
        </w:rPr>
        <w:t>目前在途集中式</w:t>
      </w:r>
      <w:r>
        <w:rPr>
          <w:rFonts w:hint="default" w:ascii="Times New Roman" w:hAnsi="Times New Roman" w:eastAsia="方正仿宋_GBK" w:cs="Times New Roman"/>
          <w:color w:val="auto"/>
          <w:sz w:val="32"/>
          <w:szCs w:val="32"/>
          <w:highlight w:val="none"/>
        </w:rPr>
        <w:t>光伏项目总计</w:t>
      </w:r>
      <w:r>
        <w:rPr>
          <w:rFonts w:hint="default" w:ascii="Times New Roman" w:hAnsi="Times New Roman" w:eastAsia="方正仿宋_GBK" w:cs="Times New Roman"/>
          <w:color w:val="auto"/>
          <w:sz w:val="32"/>
          <w:szCs w:val="32"/>
          <w:highlight w:val="none"/>
          <w:lang w:val="en-US" w:eastAsia="zh-CN"/>
        </w:rPr>
        <w:t>4</w:t>
      </w:r>
      <w:r>
        <w:rPr>
          <w:rFonts w:hint="default" w:ascii="Times New Roman" w:hAnsi="Times New Roman" w:eastAsia="方正仿宋_GBK" w:cs="Times New Roman"/>
          <w:color w:val="auto"/>
          <w:sz w:val="32"/>
          <w:szCs w:val="32"/>
          <w:highlight w:val="none"/>
        </w:rPr>
        <w:t>项，总装机容量</w:t>
      </w:r>
      <w:r>
        <w:rPr>
          <w:rFonts w:hint="default" w:ascii="Times New Roman" w:hAnsi="Times New Roman" w:eastAsia="方正仿宋_GBK" w:cs="Times New Roman"/>
          <w:color w:val="auto"/>
          <w:sz w:val="32"/>
          <w:szCs w:val="32"/>
          <w:highlight w:val="none"/>
          <w:lang w:val="en-US" w:eastAsia="zh-CN"/>
        </w:rPr>
        <w:t>49.4</w:t>
      </w:r>
      <w:r>
        <w:rPr>
          <w:rFonts w:hint="default" w:ascii="Times New Roman" w:hAnsi="Times New Roman" w:eastAsia="方正仿宋_GBK" w:cs="Times New Roman"/>
          <w:color w:val="auto"/>
          <w:sz w:val="32"/>
          <w:szCs w:val="32"/>
          <w:highlight w:val="none"/>
        </w:rPr>
        <w:t>万千瓦</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均为110千伏电压等级接入</w:t>
      </w:r>
      <w:r>
        <w:rPr>
          <w:rFonts w:hint="default"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b/>
          <w:color w:val="auto"/>
          <w:sz w:val="32"/>
          <w:szCs w:val="32"/>
          <w:highlight w:val="none"/>
        </w:rPr>
        <w:t>二是</w:t>
      </w:r>
      <w:r>
        <w:rPr>
          <w:rFonts w:hint="default" w:ascii="Times New Roman" w:hAnsi="Times New Roman" w:eastAsia="方正仿宋_GBK" w:cs="Times New Roman"/>
          <w:b/>
          <w:color w:val="auto"/>
          <w:sz w:val="32"/>
          <w:szCs w:val="32"/>
          <w:highlight w:val="none"/>
          <w:lang w:eastAsia="zh-CN"/>
        </w:rPr>
        <w:t>风电方面</w:t>
      </w:r>
      <w:r>
        <w:rPr>
          <w:rFonts w:hint="default" w:ascii="Times New Roman" w:hAnsi="Times New Roman" w:eastAsia="方正仿宋_GBK" w:cs="Times New Roman"/>
          <w:b/>
          <w:color w:val="auto"/>
          <w:sz w:val="32"/>
          <w:szCs w:val="32"/>
          <w:highlight w:val="none"/>
        </w:rPr>
        <w:t>。</w:t>
      </w:r>
      <w:r>
        <w:rPr>
          <w:rFonts w:hint="default" w:ascii="Times New Roman" w:hAnsi="Times New Roman" w:eastAsia="方正仿宋_GBK" w:cs="Times New Roman"/>
          <w:color w:val="auto"/>
          <w:sz w:val="32"/>
          <w:szCs w:val="32"/>
          <w:highlight w:val="none"/>
          <w:lang w:eastAsia="zh-CN"/>
        </w:rPr>
        <w:t>目前正在开展</w:t>
      </w:r>
      <w:r>
        <w:rPr>
          <w:rFonts w:hint="default" w:ascii="Times New Roman" w:hAnsi="Times New Roman" w:eastAsia="方正仿宋_GBK" w:cs="Times New Roman"/>
          <w:color w:val="auto"/>
          <w:sz w:val="32"/>
          <w:szCs w:val="32"/>
          <w:highlight w:val="none"/>
        </w:rPr>
        <w:t>全市风电发展规划，</w:t>
      </w:r>
      <w:r>
        <w:rPr>
          <w:rFonts w:hint="default" w:ascii="Times New Roman" w:hAnsi="Times New Roman" w:eastAsia="方正仿宋_GBK" w:cs="Times New Roman"/>
          <w:color w:val="auto"/>
          <w:sz w:val="32"/>
          <w:szCs w:val="32"/>
          <w:highlight w:val="none"/>
          <w:lang w:eastAsia="zh-CN"/>
        </w:rPr>
        <w:t>计划至“十五五”末，全市新增风电装机约</w:t>
      </w:r>
      <w:r>
        <w:rPr>
          <w:rFonts w:hint="default" w:ascii="Times New Roman" w:hAnsi="Times New Roman" w:eastAsia="方正仿宋_GBK" w:cs="Times New Roman"/>
          <w:color w:val="auto"/>
          <w:sz w:val="32"/>
          <w:szCs w:val="32"/>
          <w:highlight w:val="none"/>
          <w:lang w:val="en-US" w:eastAsia="zh-CN"/>
        </w:rPr>
        <w:t>130万千瓦</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eastAsia="zh-CN"/>
        </w:rPr>
        <w:t>需</w:t>
      </w:r>
      <w:r>
        <w:rPr>
          <w:rFonts w:hint="default" w:ascii="Times New Roman" w:hAnsi="Times New Roman" w:eastAsia="方正仿宋_GBK" w:cs="Times New Roman"/>
          <w:color w:val="auto"/>
          <w:sz w:val="32"/>
          <w:szCs w:val="32"/>
          <w:highlight w:val="none"/>
        </w:rPr>
        <w:t>提前谋划风电</w:t>
      </w:r>
      <w:r>
        <w:rPr>
          <w:rFonts w:hint="default" w:ascii="Times New Roman" w:hAnsi="Times New Roman" w:eastAsia="方正仿宋_GBK" w:cs="Times New Roman"/>
          <w:color w:val="auto"/>
          <w:sz w:val="32"/>
          <w:szCs w:val="32"/>
          <w:highlight w:val="none"/>
          <w:lang w:eastAsia="zh-CN"/>
        </w:rPr>
        <w:t>项目</w:t>
      </w:r>
      <w:r>
        <w:rPr>
          <w:rFonts w:hint="default" w:ascii="Times New Roman" w:hAnsi="Times New Roman" w:eastAsia="方正仿宋_GBK" w:cs="Times New Roman"/>
          <w:color w:val="auto"/>
          <w:sz w:val="32"/>
          <w:szCs w:val="32"/>
          <w:highlight w:val="none"/>
        </w:rPr>
        <w:t>接网方案，统筹新能源和电网协调发展。</w:t>
      </w:r>
    </w:p>
    <w:p>
      <w:pPr>
        <w:pStyle w:val="18"/>
        <w:numPr>
          <w:ilvl w:val="0"/>
          <w:numId w:val="0"/>
        </w:numPr>
        <w:ind w:firstLine="643" w:firstLineChars="200"/>
        <w:rPr>
          <w:rFonts w:hint="default" w:ascii="Times New Roman" w:hAnsi="Times New Roman" w:eastAsia="方正仿宋_GBK" w:cs="Times New Roman"/>
          <w:color w:val="auto"/>
          <w:kern w:val="2"/>
          <w:sz w:val="32"/>
          <w:szCs w:val="32"/>
          <w:highlight w:val="none"/>
          <w:lang w:val="en-US" w:eastAsia="zh-CN" w:bidi="ar-SA"/>
        </w:rPr>
      </w:pPr>
      <w:r>
        <w:rPr>
          <w:rFonts w:hint="default" w:ascii="Times New Roman" w:hAnsi="Times New Roman" w:eastAsia="方正仿宋_GBK" w:cs="Times New Roman"/>
          <w:b/>
          <w:bCs/>
          <w:color w:val="auto"/>
          <w:kern w:val="2"/>
          <w:sz w:val="32"/>
          <w:szCs w:val="32"/>
          <w:highlight w:val="none"/>
          <w:lang w:val="en-US" w:eastAsia="zh-CN" w:bidi="ar-SA"/>
        </w:rPr>
        <w:t>新能源消纳</w:t>
      </w:r>
      <w:r>
        <w:rPr>
          <w:rFonts w:hint="default" w:ascii="Times New Roman" w:hAnsi="Times New Roman" w:cs="Times New Roman"/>
          <w:b/>
          <w:bCs/>
          <w:color w:val="auto"/>
          <w:kern w:val="2"/>
          <w:sz w:val="32"/>
          <w:szCs w:val="32"/>
          <w:highlight w:val="none"/>
          <w:lang w:val="en-US" w:eastAsia="zh-CN" w:bidi="ar-SA"/>
        </w:rPr>
        <w:t>现状</w:t>
      </w:r>
      <w:r>
        <w:rPr>
          <w:rFonts w:hint="default" w:ascii="Times New Roman" w:hAnsi="Times New Roman" w:eastAsia="方正仿宋_GBK" w:cs="Times New Roman"/>
          <w:b/>
          <w:bCs/>
          <w:color w:val="auto"/>
          <w:kern w:val="2"/>
          <w:sz w:val="32"/>
          <w:szCs w:val="32"/>
          <w:highlight w:val="none"/>
          <w:lang w:val="en-US" w:eastAsia="zh-CN" w:bidi="ar-SA"/>
        </w:rPr>
        <w:t>：</w:t>
      </w:r>
      <w:r>
        <w:rPr>
          <w:rFonts w:hint="default" w:ascii="Times New Roman" w:hAnsi="Times New Roman" w:eastAsia="方正仿宋_GBK" w:cs="Times New Roman"/>
          <w:color w:val="auto"/>
          <w:kern w:val="2"/>
          <w:sz w:val="32"/>
          <w:szCs w:val="32"/>
          <w:highlight w:val="none"/>
          <w:lang w:val="en-US" w:eastAsia="zh-CN" w:bidi="ar-SA"/>
        </w:rPr>
        <w:t>全市净负荷“鸭型”曲线特征日益明显，“日出时段高频风险、午间时段消纳风险、日落时段低频风险、晚峰时段保供风险”逐步加大，“保供”“增绿”“稳价”多目标优化难度大幅提升。局部电网承压持续增大，受分布式新能源爆发式增长影响，2025年已出现220千伏主变反送升压，近800条配电线路、超万台配变出现潮流倒送现象，与分布式“就地就近”消纳要求不符。根据省能源局关于《分布式光伏发电开发建设管理办法》征求意见稿，放开分布式光伏全额上网条件，将进一步激发光伏开发建设需求，电网消纳压力或将持续存在。</w:t>
      </w:r>
    </w:p>
    <w:p>
      <w:pPr>
        <w:pStyle w:val="18"/>
        <w:numPr>
          <w:ilvl w:val="0"/>
          <w:numId w:val="0"/>
        </w:numPr>
        <w:ind w:firstLine="643" w:firstLineChars="200"/>
        <w:rPr>
          <w:rFonts w:hint="default" w:ascii="Times New Roman" w:hAnsi="Times New Roman" w:cs="Times New Roman"/>
          <w:b/>
          <w:bCs/>
          <w:color w:val="auto"/>
          <w:kern w:val="2"/>
          <w:sz w:val="32"/>
          <w:szCs w:val="32"/>
          <w:highlight w:val="none"/>
          <w:lang w:val="en-US" w:eastAsia="zh-CN" w:bidi="ar-SA"/>
        </w:rPr>
      </w:pPr>
      <w:r>
        <w:rPr>
          <w:rFonts w:hint="default" w:ascii="Times New Roman" w:hAnsi="Times New Roman" w:eastAsia="方正仿宋_GBK" w:cs="Times New Roman"/>
          <w:b/>
          <w:bCs/>
          <w:color w:val="auto"/>
          <w:kern w:val="2"/>
          <w:sz w:val="32"/>
          <w:szCs w:val="32"/>
          <w:highlight w:val="none"/>
          <w:lang w:val="en-US" w:eastAsia="zh-CN" w:bidi="ar-SA"/>
        </w:rPr>
        <w:t>新能源消纳</w:t>
      </w:r>
      <w:r>
        <w:rPr>
          <w:rFonts w:hint="default" w:ascii="Times New Roman" w:hAnsi="Times New Roman" w:cs="Times New Roman"/>
          <w:b/>
          <w:bCs/>
          <w:color w:val="auto"/>
          <w:kern w:val="2"/>
          <w:sz w:val="32"/>
          <w:szCs w:val="32"/>
          <w:highlight w:val="none"/>
          <w:lang w:val="en-US" w:eastAsia="zh-CN" w:bidi="ar-SA"/>
        </w:rPr>
        <w:t>举措：一是需求响应机制的深化。</w:t>
      </w:r>
      <w:r>
        <w:rPr>
          <w:rFonts w:hint="default" w:ascii="Times New Roman" w:hAnsi="Times New Roman" w:cs="Times New Roman"/>
          <w:color w:val="auto"/>
          <w:kern w:val="2"/>
          <w:sz w:val="32"/>
          <w:szCs w:val="32"/>
          <w:highlight w:val="none"/>
          <w:lang w:val="en-US" w:eastAsia="zh-CN" w:bidi="ar-SA"/>
        </w:rPr>
        <w:t>面对持续增大的新能源消纳压力，</w:t>
      </w:r>
      <w:r>
        <w:rPr>
          <w:rFonts w:hint="default" w:ascii="Times New Roman" w:hAnsi="Times New Roman" w:eastAsia="方正仿宋_GBK" w:cs="Times New Roman"/>
          <w:color w:val="auto"/>
          <w:kern w:val="2"/>
          <w:sz w:val="32"/>
          <w:szCs w:val="32"/>
          <w:highlight w:val="none"/>
          <w:lang w:val="en-US" w:eastAsia="zh-CN" w:bidi="ar-SA"/>
        </w:rPr>
        <w:t>2024年宿迁</w:t>
      </w:r>
      <w:r>
        <w:rPr>
          <w:rFonts w:hint="default" w:ascii="Times New Roman" w:hAnsi="Times New Roman" w:cs="Times New Roman"/>
          <w:color w:val="auto"/>
          <w:kern w:val="2"/>
          <w:sz w:val="32"/>
          <w:szCs w:val="32"/>
          <w:highlight w:val="none"/>
          <w:lang w:val="en-US" w:eastAsia="zh-CN" w:bidi="ar-SA"/>
        </w:rPr>
        <w:t>各县区已</w:t>
      </w:r>
      <w:r>
        <w:rPr>
          <w:rFonts w:hint="default" w:ascii="Times New Roman" w:hAnsi="Times New Roman" w:eastAsia="方正仿宋_GBK" w:cs="Times New Roman"/>
          <w:color w:val="auto"/>
          <w:kern w:val="2"/>
          <w:sz w:val="32"/>
          <w:szCs w:val="32"/>
          <w:highlight w:val="none"/>
          <w:lang w:val="en-US" w:eastAsia="zh-CN" w:bidi="ar-SA"/>
        </w:rPr>
        <w:t>出台</w:t>
      </w:r>
      <w:r>
        <w:rPr>
          <w:rFonts w:hint="default" w:ascii="Times New Roman" w:hAnsi="Times New Roman" w:cs="Times New Roman"/>
          <w:color w:val="auto"/>
          <w:kern w:val="2"/>
          <w:sz w:val="32"/>
          <w:szCs w:val="32"/>
          <w:highlight w:val="none"/>
          <w:lang w:val="en-US" w:eastAsia="zh-CN" w:bidi="ar-SA"/>
        </w:rPr>
        <w:t>相关</w:t>
      </w:r>
      <w:r>
        <w:rPr>
          <w:rFonts w:hint="default" w:ascii="Times New Roman" w:hAnsi="Times New Roman" w:eastAsia="方正仿宋_GBK" w:cs="Times New Roman"/>
          <w:color w:val="auto"/>
          <w:kern w:val="2"/>
          <w:sz w:val="32"/>
          <w:szCs w:val="32"/>
          <w:highlight w:val="none"/>
          <w:lang w:val="en-US" w:eastAsia="zh-CN" w:bidi="ar-SA"/>
        </w:rPr>
        <w:t>电力负荷管理政策，通过“容量补贴+响应补贴”等经济激励措施，鼓励储能、充电桩等资源参与需求响应，为新能源消纳提供政策保障。</w:t>
      </w:r>
      <w:r>
        <w:rPr>
          <w:rFonts w:hint="default" w:ascii="Times New Roman" w:hAnsi="Times New Roman" w:cs="Times New Roman"/>
          <w:color w:val="auto"/>
          <w:kern w:val="2"/>
          <w:sz w:val="32"/>
          <w:szCs w:val="32"/>
          <w:highlight w:val="none"/>
          <w:lang w:val="en-US" w:eastAsia="zh-CN" w:bidi="ar-SA"/>
        </w:rPr>
        <w:t>2025年全市将持续推进需求响应机制的深化落地，重点挖掘储能、充电桩等资源的快速调节能力，结合省级政策放宽新能源利用率目标至90%，通过负荷侧市场化手段缓解新能源弃电问题。</w:t>
      </w:r>
      <w:r>
        <w:rPr>
          <w:rFonts w:hint="default" w:ascii="Times New Roman" w:hAnsi="Times New Roman" w:cs="Times New Roman"/>
          <w:b/>
          <w:bCs/>
          <w:color w:val="auto"/>
          <w:kern w:val="2"/>
          <w:sz w:val="32"/>
          <w:szCs w:val="32"/>
          <w:highlight w:val="none"/>
          <w:lang w:val="en-US" w:eastAsia="zh-CN" w:bidi="ar-SA"/>
        </w:rPr>
        <w:t>二是工业园区微电网的示范作用。</w:t>
      </w:r>
      <w:r>
        <w:rPr>
          <w:rFonts w:hint="default" w:ascii="Times New Roman" w:hAnsi="Times New Roman" w:cs="Times New Roman"/>
          <w:b w:val="0"/>
          <w:bCs w:val="0"/>
          <w:color w:val="auto"/>
          <w:kern w:val="2"/>
          <w:sz w:val="32"/>
          <w:szCs w:val="32"/>
          <w:highlight w:val="none"/>
          <w:lang w:val="en-US" w:eastAsia="zh-CN" w:bidi="ar-SA"/>
        </w:rPr>
        <w:t>参考省内</w:t>
      </w:r>
      <w:r>
        <w:rPr>
          <w:rFonts w:hint="default" w:ascii="Times New Roman" w:hAnsi="Times New Roman" w:cs="Times New Roman"/>
          <w:color w:val="auto"/>
          <w:kern w:val="2"/>
          <w:sz w:val="32"/>
          <w:szCs w:val="32"/>
          <w:highlight w:val="none"/>
          <w:lang w:val="en-US" w:eastAsia="zh-CN" w:bidi="ar-SA"/>
        </w:rPr>
        <w:t>已投运的常州微电网项目（含1.61兆瓦光伏+6035千瓦储能），全市将加快推进在工业园区试点微电网项目，可借鉴常州经验，推动分布式能源与储能结合，通过智能调度平台实现能源高效利用，减少对大电网依赖，提升本地新能源就地消纳比例。</w:t>
      </w:r>
      <w:r>
        <w:rPr>
          <w:rFonts w:hint="default" w:ascii="Times New Roman" w:hAnsi="Times New Roman" w:cs="Times New Roman"/>
          <w:b/>
          <w:bCs/>
          <w:color w:val="auto"/>
          <w:kern w:val="2"/>
          <w:sz w:val="32"/>
          <w:szCs w:val="32"/>
          <w:highlight w:val="none"/>
          <w:lang w:val="en-US" w:eastAsia="zh-CN" w:bidi="ar-SA"/>
        </w:rPr>
        <w:t>三是高耗能行业调控与非工业柔性管理。</w:t>
      </w:r>
      <w:r>
        <w:rPr>
          <w:rFonts w:hint="default" w:ascii="Times New Roman" w:hAnsi="Times New Roman" w:cs="Times New Roman"/>
          <w:color w:val="auto"/>
          <w:kern w:val="2"/>
          <w:sz w:val="32"/>
          <w:szCs w:val="32"/>
          <w:highlight w:val="none"/>
          <w:lang w:val="en-US" w:eastAsia="zh-CN" w:bidi="ar-SA"/>
        </w:rPr>
        <w:t>宿迁将高耗能企业优先纳入</w:t>
      </w:r>
      <w:r>
        <w:rPr>
          <w:rFonts w:hint="eastAsia" w:ascii="Times New Roman" w:hAnsi="Times New Roman" w:cs="Times New Roman"/>
          <w:color w:val="auto"/>
          <w:kern w:val="2"/>
          <w:sz w:val="32"/>
          <w:szCs w:val="32"/>
          <w:highlight w:val="none"/>
          <w:lang w:val="en-US" w:eastAsia="zh-CN" w:bidi="ar-SA"/>
        </w:rPr>
        <w:t>负荷管理</w:t>
      </w:r>
      <w:r>
        <w:rPr>
          <w:rFonts w:hint="default" w:ascii="Times New Roman" w:hAnsi="Times New Roman" w:cs="Times New Roman"/>
          <w:color w:val="auto"/>
          <w:kern w:val="2"/>
          <w:sz w:val="32"/>
          <w:szCs w:val="32"/>
          <w:highlight w:val="none"/>
          <w:lang w:val="en-US" w:eastAsia="zh-CN" w:bidi="ar-SA"/>
        </w:rPr>
        <w:t>范围，并通过非工业用户空调调控、公共机构错峰用电等措施，释放可调控负荷容量。通过分级管理策略，有效平衡新能源波动性与传统负荷需求。</w:t>
      </w:r>
    </w:p>
    <w:p>
      <w:pPr>
        <w:pStyle w:val="5"/>
        <w:ind w:firstLine="640"/>
        <w:rPr>
          <w:rFonts w:hint="default" w:ascii="Times New Roman" w:hAnsi="Times New Roman" w:eastAsia="方正仿宋_GBK" w:cs="Times New Roman"/>
          <w:color w:val="auto"/>
          <w:sz w:val="32"/>
          <w:szCs w:val="32"/>
          <w:highlight w:val="none"/>
        </w:rPr>
      </w:pPr>
      <w:bookmarkStart w:id="77" w:name="_Toc2596"/>
      <w:r>
        <w:rPr>
          <w:rFonts w:hint="eastAsia" w:ascii="Times New Roman" w:hAnsi="Times New Roman" w:eastAsia="方正仿宋_GBK" w:cs="Times New Roman"/>
          <w:color w:val="auto"/>
          <w:sz w:val="32"/>
          <w:szCs w:val="32"/>
          <w:highlight w:val="none"/>
          <w:lang w:val="en-US" w:eastAsia="zh-CN"/>
        </w:rPr>
        <w:t>4</w:t>
      </w:r>
      <w:r>
        <w:rPr>
          <w:rFonts w:hint="default" w:ascii="Times New Roman" w:hAnsi="Times New Roman" w:eastAsia="方正仿宋_GBK" w:cs="Times New Roman"/>
          <w:color w:val="auto"/>
          <w:sz w:val="32"/>
          <w:szCs w:val="32"/>
          <w:highlight w:val="none"/>
        </w:rPr>
        <w:t>.202</w:t>
      </w:r>
      <w:r>
        <w:rPr>
          <w:rFonts w:hint="default" w:ascii="Times New Roman" w:hAnsi="Times New Roman" w:eastAsia="方正仿宋_GBK" w:cs="Times New Roman"/>
          <w:color w:val="auto"/>
          <w:sz w:val="32"/>
          <w:szCs w:val="32"/>
          <w:highlight w:val="none"/>
          <w:lang w:val="en-US" w:eastAsia="zh-CN"/>
        </w:rPr>
        <w:t>5</w:t>
      </w:r>
      <w:r>
        <w:rPr>
          <w:rFonts w:hint="default" w:ascii="Times New Roman" w:hAnsi="Times New Roman" w:eastAsia="方正仿宋_GBK" w:cs="Times New Roman"/>
          <w:color w:val="auto"/>
          <w:sz w:val="32"/>
          <w:szCs w:val="32"/>
          <w:highlight w:val="none"/>
        </w:rPr>
        <w:t>年电力供需分析</w:t>
      </w:r>
      <w:bookmarkEnd w:id="77"/>
    </w:p>
    <w:p>
      <w:pPr>
        <w:ind w:firstLine="64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b/>
          <w:bCs/>
          <w:color w:val="auto"/>
          <w:sz w:val="32"/>
          <w:szCs w:val="32"/>
          <w:highlight w:val="none"/>
          <w:lang w:val="en-US" w:eastAsia="zh-CN"/>
        </w:rPr>
        <w:t>一季度</w:t>
      </w:r>
      <w:r>
        <w:rPr>
          <w:rFonts w:hint="default" w:ascii="Times New Roman" w:hAnsi="Times New Roman" w:eastAsia="方正仿宋_GBK" w:cs="Times New Roman"/>
          <w:b/>
          <w:bCs/>
          <w:color w:val="auto"/>
          <w:sz w:val="32"/>
          <w:szCs w:val="32"/>
          <w:highlight w:val="none"/>
        </w:rPr>
        <w:t>负荷情况：</w:t>
      </w:r>
      <w:r>
        <w:rPr>
          <w:rFonts w:hint="default" w:ascii="Times New Roman" w:hAnsi="Times New Roman" w:eastAsia="方正仿宋_GBK" w:cs="Times New Roman"/>
          <w:b w:val="0"/>
          <w:bCs w:val="0"/>
          <w:color w:val="auto"/>
          <w:sz w:val="32"/>
          <w:szCs w:val="32"/>
          <w:highlight w:val="none"/>
          <w:lang w:val="en-US" w:eastAsia="zh-CN"/>
        </w:rPr>
        <w:t>1</w:t>
      </w:r>
      <w:r>
        <w:rPr>
          <w:rFonts w:hint="default" w:ascii="Times New Roman" w:hAnsi="Times New Roman" w:eastAsia="方正仿宋_GBK" w:cs="Times New Roman"/>
          <w:b/>
          <w:bCs/>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rPr>
        <w:t>3月份</w:t>
      </w:r>
      <w:r>
        <w:rPr>
          <w:rFonts w:hint="default" w:ascii="Times New Roman" w:hAnsi="Times New Roman" w:eastAsia="方正仿宋_GBK" w:cs="Times New Roman"/>
          <w:color w:val="auto"/>
          <w:sz w:val="32"/>
          <w:szCs w:val="32"/>
          <w:highlight w:val="none"/>
          <w:lang w:val="en-US" w:eastAsia="zh-CN"/>
        </w:rPr>
        <w:t>全网</w:t>
      </w:r>
      <w:r>
        <w:rPr>
          <w:rFonts w:hint="default" w:ascii="Times New Roman" w:hAnsi="Times New Roman" w:eastAsia="方正仿宋_GBK" w:cs="Times New Roman"/>
          <w:color w:val="auto"/>
          <w:sz w:val="32"/>
          <w:szCs w:val="32"/>
          <w:highlight w:val="none"/>
        </w:rPr>
        <w:t>口径最大负荷为</w:t>
      </w:r>
      <w:r>
        <w:rPr>
          <w:rFonts w:hint="default" w:ascii="Times New Roman" w:hAnsi="Times New Roman" w:eastAsia="方正仿宋_GBK" w:cs="Times New Roman"/>
          <w:color w:val="auto"/>
          <w:sz w:val="32"/>
          <w:szCs w:val="32"/>
          <w:highlight w:val="none"/>
          <w:lang w:val="en-US" w:eastAsia="zh-CN"/>
        </w:rPr>
        <w:t>483.5</w:t>
      </w:r>
      <w:r>
        <w:rPr>
          <w:rFonts w:hint="default" w:ascii="Times New Roman" w:hAnsi="Times New Roman" w:eastAsia="方正仿宋_GBK" w:cs="Times New Roman"/>
          <w:color w:val="auto"/>
          <w:sz w:val="32"/>
          <w:szCs w:val="32"/>
          <w:highlight w:val="none"/>
        </w:rPr>
        <w:t>万千瓦，同比</w:t>
      </w:r>
      <w:r>
        <w:rPr>
          <w:rFonts w:hint="default" w:ascii="Times New Roman" w:hAnsi="Times New Roman" w:eastAsia="方正仿宋_GBK" w:cs="Times New Roman"/>
          <w:color w:val="auto"/>
          <w:sz w:val="32"/>
          <w:szCs w:val="32"/>
          <w:highlight w:val="none"/>
          <w:lang w:val="en-US" w:eastAsia="zh-CN"/>
        </w:rPr>
        <w:t>下降-10.37</w:t>
      </w:r>
      <w:r>
        <w:rPr>
          <w:rFonts w:hint="default" w:ascii="Times New Roman" w:hAnsi="Times New Roman" w:eastAsia="方正仿宋_GBK" w:cs="Times New Roman"/>
          <w:color w:val="auto"/>
          <w:sz w:val="32"/>
          <w:szCs w:val="32"/>
          <w:highlight w:val="none"/>
        </w:rPr>
        <w:t>%。究其原因：一是</w:t>
      </w:r>
      <w:r>
        <w:rPr>
          <w:rFonts w:hint="eastAsia" w:ascii="Times New Roman" w:hAnsi="Times New Roman" w:eastAsia="方正仿宋_GBK" w:cs="Times New Roman"/>
          <w:color w:val="auto"/>
          <w:sz w:val="32"/>
          <w:szCs w:val="32"/>
          <w:highlight w:val="none"/>
          <w:lang w:val="en-US" w:eastAsia="zh-CN"/>
        </w:rPr>
        <w:t>一季度</w:t>
      </w:r>
      <w:r>
        <w:rPr>
          <w:rFonts w:hint="default" w:ascii="Times New Roman" w:hAnsi="Times New Roman" w:eastAsia="方正仿宋_GBK" w:cs="Times New Roman"/>
          <w:color w:val="auto"/>
          <w:sz w:val="32"/>
          <w:szCs w:val="32"/>
          <w:highlight w:val="none"/>
        </w:rPr>
        <w:t>宿迁平均气温</w:t>
      </w:r>
      <w:r>
        <w:rPr>
          <w:rFonts w:hint="default" w:ascii="Times New Roman" w:hAnsi="Times New Roman" w:eastAsia="方正仿宋_GBK" w:cs="Times New Roman"/>
          <w:color w:val="auto"/>
          <w:sz w:val="32"/>
          <w:szCs w:val="32"/>
          <w:highlight w:val="none"/>
          <w:lang w:eastAsia="zh-CN"/>
        </w:rPr>
        <w:t>较常年偏高</w:t>
      </w:r>
      <w:r>
        <w:rPr>
          <w:rFonts w:hint="default" w:ascii="Times New Roman" w:hAnsi="Times New Roman" w:eastAsia="方正仿宋_GBK" w:cs="Times New Roman"/>
          <w:color w:val="auto"/>
          <w:sz w:val="32"/>
          <w:szCs w:val="32"/>
          <w:highlight w:val="none"/>
          <w:lang w:val="en-US" w:eastAsia="zh-CN"/>
        </w:rPr>
        <w:t>1~2℃，空调采暖负荷较往年偏低</w:t>
      </w:r>
      <w:r>
        <w:rPr>
          <w:rFonts w:hint="default" w:ascii="Times New Roman" w:hAnsi="Times New Roman" w:eastAsia="方正仿宋_GBK" w:cs="Times New Roman"/>
          <w:color w:val="auto"/>
          <w:sz w:val="32"/>
          <w:szCs w:val="32"/>
          <w:highlight w:val="none"/>
        </w:rPr>
        <w:t>。二是</w:t>
      </w:r>
      <w:r>
        <w:rPr>
          <w:rFonts w:hint="default" w:ascii="Times New Roman" w:hAnsi="Times New Roman" w:eastAsia="方正仿宋_GBK" w:cs="Times New Roman"/>
          <w:color w:val="auto"/>
          <w:sz w:val="32"/>
          <w:szCs w:val="32"/>
          <w:highlight w:val="none"/>
          <w:lang w:val="en-US" w:eastAsia="zh-CN"/>
        </w:rPr>
        <w:t>部分光伏等企业受订单影响，产能降低</w:t>
      </w:r>
      <w:r>
        <w:rPr>
          <w:rFonts w:hint="default" w:ascii="Times New Roman" w:hAnsi="Times New Roman" w:eastAsia="方正仿宋_GBK" w:cs="Times New Roman"/>
          <w:color w:val="auto"/>
          <w:sz w:val="32"/>
          <w:szCs w:val="32"/>
          <w:highlight w:val="none"/>
        </w:rPr>
        <w:t>，用电负荷</w:t>
      </w:r>
      <w:r>
        <w:rPr>
          <w:rFonts w:hint="default" w:ascii="Times New Roman" w:hAnsi="Times New Roman" w:eastAsia="方正仿宋_GBK" w:cs="Times New Roman"/>
          <w:color w:val="auto"/>
          <w:sz w:val="32"/>
          <w:szCs w:val="32"/>
          <w:highlight w:val="none"/>
          <w:lang w:val="en-US" w:eastAsia="zh-CN"/>
        </w:rPr>
        <w:t>减少</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三是今年春节较去年提前，部分企业提前放假过年。</w:t>
      </w:r>
    </w:p>
    <w:p>
      <w:pPr>
        <w:pStyle w:val="2"/>
        <w:spacing w:line="240" w:lineRule="auto"/>
        <w:ind w:firstLine="0" w:firstLineChars="0"/>
        <w:jc w:val="center"/>
        <w:rPr>
          <w:rFonts w:hint="default" w:ascii="Times New Roman" w:hAnsi="Times New Roman" w:eastAsia="方正仿宋_GBK" w:cs="Times New Roman"/>
          <w:color w:val="auto"/>
          <w:sz w:val="32"/>
          <w:szCs w:val="32"/>
          <w:highlight w:val="none"/>
        </w:rPr>
      </w:pPr>
      <w:r>
        <w:rPr>
          <w:rFonts w:hint="default" w:ascii="Times New Roman" w:hAnsi="Times New Roman" w:cs="Times New Roman"/>
          <w:color w:val="auto"/>
          <w:highlight w:val="none"/>
        </w:rPr>
        <w:drawing>
          <wp:inline distT="0" distB="0" distL="114300" distR="114300">
            <wp:extent cx="5266690" cy="2962910"/>
            <wp:effectExtent l="0" t="0" r="10160" b="889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9"/>
                    <a:stretch>
                      <a:fillRect/>
                    </a:stretch>
                  </pic:blipFill>
                  <pic:spPr>
                    <a:xfrm>
                      <a:off x="0" y="0"/>
                      <a:ext cx="5266690" cy="2962910"/>
                    </a:xfrm>
                    <a:prstGeom prst="rect">
                      <a:avLst/>
                    </a:prstGeom>
                    <a:noFill/>
                    <a:ln>
                      <a:noFill/>
                    </a:ln>
                  </pic:spPr>
                </pic:pic>
              </a:graphicData>
            </a:graphic>
          </wp:inline>
        </w:drawing>
      </w:r>
    </w:p>
    <w:p>
      <w:pPr>
        <w:pStyle w:val="2"/>
        <w:ind w:firstLine="0" w:firstLineChars="0"/>
        <w:jc w:val="center"/>
        <w:rPr>
          <w:rFonts w:hint="default" w:ascii="Times New Roman" w:hAnsi="Times New Roman" w:cs="Times New Roman"/>
          <w:color w:val="auto"/>
          <w:highlight w:val="none"/>
        </w:rPr>
      </w:pPr>
      <w:bookmarkStart w:id="78" w:name="_Toc21782"/>
      <w:r>
        <w:rPr>
          <w:rFonts w:hint="default" w:ascii="黑体" w:hAnsi="黑体" w:eastAsia="黑体" w:cs="黑体"/>
          <w:b w:val="0"/>
          <w:bCs/>
          <w:color w:val="auto"/>
          <w:kern w:val="0"/>
          <w:sz w:val="21"/>
          <w:szCs w:val="21"/>
          <w:highlight w:val="none"/>
          <w:lang w:val="en-US" w:eastAsia="zh-CN"/>
        </w:rPr>
        <w:t>图3：2025年3月全网负荷曲线</w:t>
      </w:r>
      <w:bookmarkEnd w:id="78"/>
    </w:p>
    <w:p>
      <w:pPr>
        <w:ind w:firstLine="64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b/>
          <w:bCs/>
          <w:color w:val="auto"/>
          <w:sz w:val="32"/>
          <w:szCs w:val="32"/>
          <w:highlight w:val="none"/>
          <w:lang w:val="en-US" w:eastAsia="zh-CN"/>
        </w:rPr>
        <w:t>一季度</w:t>
      </w:r>
      <w:r>
        <w:rPr>
          <w:rFonts w:hint="default" w:ascii="Times New Roman" w:hAnsi="Times New Roman" w:eastAsia="方正仿宋_GBK" w:cs="Times New Roman"/>
          <w:b/>
          <w:bCs/>
          <w:color w:val="auto"/>
          <w:sz w:val="32"/>
          <w:szCs w:val="32"/>
          <w:highlight w:val="none"/>
        </w:rPr>
        <w:t>电量情况：</w:t>
      </w:r>
      <w:r>
        <w:rPr>
          <w:rFonts w:hint="default" w:ascii="Times New Roman" w:hAnsi="Times New Roman" w:eastAsia="方正仿宋_GBK" w:cs="Times New Roman"/>
          <w:color w:val="auto"/>
          <w:sz w:val="32"/>
          <w:szCs w:val="32"/>
          <w:highlight w:val="none"/>
          <w:lang w:val="en-US" w:eastAsia="zh-CN"/>
        </w:rPr>
        <w:t>一季度，我市全社会用电量计完成</w:t>
      </w:r>
      <w:r>
        <w:rPr>
          <w:rFonts w:hint="eastAsia" w:ascii="Times New Roman" w:hAnsi="Times New Roman" w:eastAsia="方正仿宋_GBK" w:cs="Times New Roman"/>
          <w:color w:val="auto"/>
          <w:sz w:val="32"/>
          <w:szCs w:val="32"/>
          <w:highlight w:val="none"/>
          <w:lang w:val="en-US" w:eastAsia="zh-CN"/>
        </w:rPr>
        <w:t>79.02</w:t>
      </w:r>
      <w:r>
        <w:rPr>
          <w:rFonts w:hint="default" w:ascii="Times New Roman" w:hAnsi="Times New Roman" w:eastAsia="方正仿宋_GBK" w:cs="Times New Roman"/>
          <w:color w:val="auto"/>
          <w:sz w:val="32"/>
          <w:szCs w:val="32"/>
          <w:highlight w:val="none"/>
          <w:lang w:val="en-US" w:eastAsia="zh-CN"/>
        </w:rPr>
        <w:t>亿千瓦时,同比增长</w:t>
      </w:r>
      <w:r>
        <w:rPr>
          <w:rFonts w:hint="eastAsia" w:ascii="Times New Roman" w:hAnsi="Times New Roman" w:eastAsia="方正仿宋_GBK" w:cs="Times New Roman"/>
          <w:color w:val="auto"/>
          <w:sz w:val="32"/>
          <w:szCs w:val="32"/>
          <w:highlight w:val="none"/>
          <w:lang w:val="en-US" w:eastAsia="zh-CN"/>
        </w:rPr>
        <w:t>-1.2</w:t>
      </w:r>
      <w:r>
        <w:rPr>
          <w:rFonts w:hint="default" w:ascii="Times New Roman" w:hAnsi="Times New Roman" w:eastAsia="方正仿宋_GBK" w:cs="Times New Roman"/>
          <w:color w:val="auto"/>
          <w:sz w:val="32"/>
          <w:szCs w:val="32"/>
          <w:highlight w:val="none"/>
          <w:lang w:val="en-US" w:eastAsia="zh-CN"/>
        </w:rPr>
        <w:t>%，从用电结构来看，其中：第一产业用电量累计1</w:t>
      </w:r>
      <w:r>
        <w:rPr>
          <w:rFonts w:hint="eastAsia" w:ascii="Times New Roman" w:hAnsi="Times New Roman" w:eastAsia="方正仿宋_GBK" w:cs="Times New Roman"/>
          <w:color w:val="auto"/>
          <w:sz w:val="32"/>
          <w:szCs w:val="32"/>
          <w:highlight w:val="none"/>
          <w:lang w:val="en-US" w:eastAsia="zh-CN"/>
        </w:rPr>
        <w:t>.60</w:t>
      </w:r>
      <w:r>
        <w:rPr>
          <w:rFonts w:hint="default" w:ascii="Times New Roman" w:hAnsi="Times New Roman" w:eastAsia="方正仿宋_GBK" w:cs="Times New Roman"/>
          <w:color w:val="auto"/>
          <w:sz w:val="32"/>
          <w:szCs w:val="32"/>
          <w:highlight w:val="none"/>
          <w:lang w:val="en-US" w:eastAsia="zh-CN"/>
        </w:rPr>
        <w:t>亿千瓦时，同比增长</w:t>
      </w:r>
      <w:r>
        <w:rPr>
          <w:rFonts w:hint="eastAsia" w:ascii="Times New Roman" w:hAnsi="Times New Roman" w:eastAsia="方正仿宋_GBK" w:cs="Times New Roman"/>
          <w:color w:val="auto"/>
          <w:sz w:val="32"/>
          <w:szCs w:val="32"/>
          <w:highlight w:val="none"/>
          <w:lang w:val="en-US" w:eastAsia="zh-CN"/>
        </w:rPr>
        <w:t>9.58</w:t>
      </w:r>
      <w:r>
        <w:rPr>
          <w:rFonts w:hint="default" w:ascii="Times New Roman" w:hAnsi="Times New Roman" w:eastAsia="方正仿宋_GBK" w:cs="Times New Roman"/>
          <w:color w:val="auto"/>
          <w:sz w:val="32"/>
          <w:szCs w:val="32"/>
          <w:highlight w:val="none"/>
          <w:lang w:val="en-US" w:eastAsia="zh-CN"/>
        </w:rPr>
        <w:t>%。第二产业用电量累计完成</w:t>
      </w:r>
      <w:r>
        <w:rPr>
          <w:rFonts w:hint="eastAsia" w:ascii="Times New Roman" w:hAnsi="Times New Roman" w:eastAsia="方正仿宋_GBK" w:cs="Times New Roman"/>
          <w:color w:val="auto"/>
          <w:sz w:val="32"/>
          <w:szCs w:val="32"/>
          <w:highlight w:val="none"/>
          <w:lang w:val="en-US" w:eastAsia="zh-CN"/>
        </w:rPr>
        <w:t>51.16</w:t>
      </w:r>
      <w:r>
        <w:rPr>
          <w:rFonts w:hint="default" w:ascii="Times New Roman" w:hAnsi="Times New Roman" w:eastAsia="方正仿宋_GBK" w:cs="Times New Roman"/>
          <w:color w:val="auto"/>
          <w:sz w:val="32"/>
          <w:szCs w:val="32"/>
          <w:highlight w:val="none"/>
          <w:lang w:val="en-US" w:eastAsia="zh-CN"/>
        </w:rPr>
        <w:t>亿千瓦时，同比增长</w:t>
      </w:r>
      <w:r>
        <w:rPr>
          <w:rFonts w:hint="eastAsia" w:ascii="Times New Roman" w:hAnsi="Times New Roman" w:eastAsia="方正仿宋_GBK" w:cs="Times New Roman"/>
          <w:color w:val="auto"/>
          <w:sz w:val="32"/>
          <w:szCs w:val="32"/>
          <w:highlight w:val="none"/>
          <w:lang w:val="en-US" w:eastAsia="zh-CN"/>
        </w:rPr>
        <w:t>0.02</w:t>
      </w:r>
      <w:r>
        <w:rPr>
          <w:rFonts w:hint="default" w:ascii="Times New Roman" w:hAnsi="Times New Roman" w:eastAsia="方正仿宋_GBK" w:cs="Times New Roman"/>
          <w:color w:val="auto"/>
          <w:sz w:val="32"/>
          <w:szCs w:val="32"/>
          <w:highlight w:val="none"/>
          <w:lang w:val="en-US" w:eastAsia="zh-CN"/>
        </w:rPr>
        <w:t>%。第三产业用电量累计完成</w:t>
      </w:r>
      <w:r>
        <w:rPr>
          <w:rFonts w:hint="eastAsia" w:ascii="Times New Roman" w:hAnsi="Times New Roman" w:eastAsia="方正仿宋_GBK" w:cs="Times New Roman"/>
          <w:color w:val="auto"/>
          <w:sz w:val="32"/>
          <w:szCs w:val="32"/>
          <w:highlight w:val="none"/>
          <w:lang w:val="en-US" w:eastAsia="zh-CN"/>
        </w:rPr>
        <w:t>12.12</w:t>
      </w:r>
      <w:r>
        <w:rPr>
          <w:rFonts w:hint="default" w:ascii="Times New Roman" w:hAnsi="Times New Roman" w:eastAsia="方正仿宋_GBK" w:cs="Times New Roman"/>
          <w:color w:val="auto"/>
          <w:sz w:val="32"/>
          <w:szCs w:val="32"/>
          <w:highlight w:val="none"/>
          <w:lang w:val="en-US" w:eastAsia="zh-CN"/>
        </w:rPr>
        <w:t>亿千瓦时，同比增长</w:t>
      </w:r>
      <w:r>
        <w:rPr>
          <w:rFonts w:hint="eastAsia" w:ascii="Times New Roman" w:hAnsi="Times New Roman" w:eastAsia="方正仿宋_GBK" w:cs="Times New Roman"/>
          <w:color w:val="auto"/>
          <w:sz w:val="32"/>
          <w:szCs w:val="32"/>
          <w:highlight w:val="none"/>
          <w:lang w:val="en-US" w:eastAsia="zh-CN"/>
        </w:rPr>
        <w:t>-0.70</w:t>
      </w:r>
      <w:r>
        <w:rPr>
          <w:rFonts w:hint="default" w:ascii="Times New Roman" w:hAnsi="Times New Roman" w:eastAsia="方正仿宋_GBK" w:cs="Times New Roman"/>
          <w:color w:val="auto"/>
          <w:sz w:val="32"/>
          <w:szCs w:val="32"/>
          <w:highlight w:val="none"/>
          <w:lang w:val="en-US" w:eastAsia="zh-CN"/>
        </w:rPr>
        <w:t>%。城乡居民生活用电量累计完成</w:t>
      </w:r>
      <w:r>
        <w:rPr>
          <w:rFonts w:hint="eastAsia" w:ascii="Times New Roman" w:hAnsi="Times New Roman" w:eastAsia="方正仿宋_GBK" w:cs="Times New Roman"/>
          <w:color w:val="auto"/>
          <w:sz w:val="32"/>
          <w:szCs w:val="32"/>
          <w:highlight w:val="none"/>
          <w:lang w:val="en-US" w:eastAsia="zh-CN"/>
        </w:rPr>
        <w:t>14.13</w:t>
      </w:r>
      <w:r>
        <w:rPr>
          <w:rFonts w:hint="default" w:ascii="Times New Roman" w:hAnsi="Times New Roman" w:eastAsia="方正仿宋_GBK" w:cs="Times New Roman"/>
          <w:color w:val="auto"/>
          <w:sz w:val="32"/>
          <w:szCs w:val="32"/>
          <w:highlight w:val="none"/>
          <w:lang w:val="en-US" w:eastAsia="zh-CN"/>
        </w:rPr>
        <w:t>亿千瓦时，同比增长</w:t>
      </w:r>
      <w:r>
        <w:rPr>
          <w:rFonts w:hint="eastAsia" w:ascii="Times New Roman" w:hAnsi="Times New Roman" w:eastAsia="方正仿宋_GBK" w:cs="Times New Roman"/>
          <w:color w:val="auto"/>
          <w:sz w:val="32"/>
          <w:szCs w:val="32"/>
          <w:highlight w:val="none"/>
          <w:lang w:val="en-US" w:eastAsia="zh-CN"/>
        </w:rPr>
        <w:t>-6.77</w:t>
      </w:r>
      <w:r>
        <w:rPr>
          <w:rFonts w:hint="default" w:ascii="Times New Roman" w:hAnsi="Times New Roman" w:eastAsia="方正仿宋_GBK" w:cs="Times New Roman"/>
          <w:color w:val="auto"/>
          <w:sz w:val="32"/>
          <w:szCs w:val="32"/>
          <w:highlight w:val="none"/>
          <w:lang w:val="en-US" w:eastAsia="zh-CN"/>
        </w:rPr>
        <w:t>%。宿迁地区用电保持“二、三、一”的产业结构模式。</w:t>
      </w:r>
    </w:p>
    <w:p>
      <w:pPr>
        <w:pStyle w:val="5"/>
        <w:ind w:firstLine="640"/>
        <w:rPr>
          <w:rFonts w:hint="default" w:ascii="Times New Roman" w:hAnsi="Times New Roman" w:eastAsia="方正仿宋_GBK" w:cs="Times New Roman"/>
          <w:color w:val="auto"/>
          <w:sz w:val="32"/>
          <w:szCs w:val="32"/>
          <w:highlight w:val="none"/>
        </w:rPr>
      </w:pPr>
      <w:bookmarkStart w:id="79" w:name="_Toc3604"/>
      <w:r>
        <w:rPr>
          <w:rFonts w:hint="eastAsia" w:ascii="Times New Roman" w:hAnsi="Times New Roman" w:eastAsia="方正仿宋_GBK" w:cs="Times New Roman"/>
          <w:color w:val="auto"/>
          <w:sz w:val="32"/>
          <w:szCs w:val="32"/>
          <w:highlight w:val="none"/>
          <w:lang w:val="en-US" w:eastAsia="zh-CN"/>
        </w:rPr>
        <w:t>5</w:t>
      </w:r>
      <w:r>
        <w:rPr>
          <w:rFonts w:hint="default" w:ascii="Times New Roman" w:hAnsi="Times New Roman" w:eastAsia="方正仿宋_GBK" w:cs="Times New Roman"/>
          <w:color w:val="auto"/>
          <w:sz w:val="32"/>
          <w:szCs w:val="32"/>
          <w:highlight w:val="none"/>
        </w:rPr>
        <w:t>.202</w:t>
      </w:r>
      <w:r>
        <w:rPr>
          <w:rFonts w:hint="default" w:ascii="Times New Roman" w:hAnsi="Times New Roman" w:eastAsia="方正仿宋_GBK" w:cs="Times New Roman"/>
          <w:color w:val="auto"/>
          <w:sz w:val="32"/>
          <w:szCs w:val="32"/>
          <w:highlight w:val="none"/>
          <w:lang w:val="en-US" w:eastAsia="zh-CN"/>
        </w:rPr>
        <w:t>5</w:t>
      </w:r>
      <w:r>
        <w:rPr>
          <w:rFonts w:hint="default" w:ascii="Times New Roman" w:hAnsi="Times New Roman" w:eastAsia="方正仿宋_GBK" w:cs="Times New Roman"/>
          <w:color w:val="auto"/>
          <w:sz w:val="32"/>
          <w:szCs w:val="32"/>
          <w:highlight w:val="none"/>
        </w:rPr>
        <w:t>年最高用电负荷及空调负荷预测</w:t>
      </w:r>
      <w:bookmarkEnd w:id="79"/>
    </w:p>
    <w:p>
      <w:pPr>
        <w:ind w:firstLine="64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最大用电负荷预测采用最大负荷趋势外推法、分地区预测和基础负荷预测三种方法。</w:t>
      </w:r>
    </w:p>
    <w:p>
      <w:pPr>
        <w:pStyle w:val="7"/>
        <w:rPr>
          <w:rFonts w:hint="default" w:ascii="Times New Roman" w:hAnsi="Times New Roman" w:eastAsia="方正仿宋_GBK" w:cs="Times New Roman"/>
          <w:color w:val="auto"/>
          <w:sz w:val="32"/>
          <w:szCs w:val="32"/>
          <w:highlight w:val="none"/>
        </w:rPr>
      </w:pPr>
      <w:bookmarkStart w:id="80" w:name="_Toc7305"/>
      <w:r>
        <w:rPr>
          <w:rFonts w:hint="default" w:ascii="Times New Roman" w:hAnsi="Times New Roman" w:eastAsia="方正仿宋_GBK" w:cs="Times New Roman"/>
          <w:color w:val="auto"/>
          <w:sz w:val="32"/>
          <w:szCs w:val="32"/>
          <w:highlight w:val="none"/>
        </w:rPr>
        <w:t>（1）</w:t>
      </w:r>
      <w:bookmarkEnd w:id="80"/>
      <w:bookmarkStart w:id="81" w:name="_Toc28052"/>
      <w:r>
        <w:rPr>
          <w:rFonts w:hint="default" w:ascii="Times New Roman" w:hAnsi="Times New Roman" w:eastAsia="方正仿宋_GBK" w:cs="Times New Roman"/>
          <w:color w:val="auto"/>
          <w:sz w:val="32"/>
          <w:szCs w:val="32"/>
          <w:highlight w:val="none"/>
        </w:rPr>
        <w:t>最大负荷趋势外推法</w:t>
      </w:r>
    </w:p>
    <w:p>
      <w:pPr>
        <w:pStyle w:val="2"/>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利用最大负荷趋势外推法，</w:t>
      </w:r>
      <w:r>
        <w:rPr>
          <w:rFonts w:hint="default" w:ascii="Times New Roman" w:hAnsi="Times New Roman" w:eastAsia="方正仿宋_GBK" w:cs="Times New Roman"/>
          <w:color w:val="auto"/>
          <w:sz w:val="32"/>
          <w:szCs w:val="32"/>
          <w:highlight w:val="none"/>
          <w:lang w:eastAsia="zh-CN"/>
        </w:rPr>
        <w:t>通过</w:t>
      </w:r>
      <w:r>
        <w:rPr>
          <w:rFonts w:hint="default" w:ascii="Times New Roman" w:hAnsi="Times New Roman" w:eastAsia="方正仿宋_GBK" w:cs="Times New Roman"/>
          <w:color w:val="auto"/>
          <w:sz w:val="32"/>
          <w:szCs w:val="32"/>
          <w:highlight w:val="none"/>
        </w:rPr>
        <w:t>用2014年至202</w:t>
      </w:r>
      <w:r>
        <w:rPr>
          <w:rFonts w:hint="default" w:ascii="Times New Roman" w:hAnsi="Times New Roman" w:eastAsia="方正仿宋_GBK" w:cs="Times New Roman"/>
          <w:color w:val="auto"/>
          <w:sz w:val="32"/>
          <w:szCs w:val="32"/>
          <w:highlight w:val="none"/>
          <w:lang w:val="en-US" w:eastAsia="zh-CN"/>
        </w:rPr>
        <w:t>4</w:t>
      </w:r>
      <w:r>
        <w:rPr>
          <w:rFonts w:hint="default" w:ascii="Times New Roman" w:hAnsi="Times New Roman" w:eastAsia="方正仿宋_GBK" w:cs="Times New Roman"/>
          <w:color w:val="auto"/>
          <w:sz w:val="32"/>
          <w:szCs w:val="32"/>
          <w:highlight w:val="none"/>
        </w:rPr>
        <w:t>年已有的调度最大负荷数据，通过线性回归算法，叠加营销分布式光伏出力影响，按趋势推算后续负荷，202</w:t>
      </w:r>
      <w:r>
        <w:rPr>
          <w:rFonts w:hint="default" w:ascii="Times New Roman" w:hAnsi="Times New Roman" w:eastAsia="方正仿宋_GBK" w:cs="Times New Roman"/>
          <w:color w:val="auto"/>
          <w:sz w:val="32"/>
          <w:szCs w:val="32"/>
          <w:highlight w:val="none"/>
          <w:lang w:val="en-US" w:eastAsia="zh-CN"/>
        </w:rPr>
        <w:t>5</w:t>
      </w:r>
      <w:r>
        <w:rPr>
          <w:rFonts w:hint="default" w:ascii="Times New Roman" w:hAnsi="Times New Roman" w:eastAsia="方正仿宋_GBK" w:cs="Times New Roman"/>
          <w:color w:val="auto"/>
          <w:sz w:val="32"/>
          <w:szCs w:val="32"/>
          <w:highlight w:val="none"/>
        </w:rPr>
        <w:t>年夏季午峰最大调度负荷约为</w:t>
      </w:r>
      <w:r>
        <w:rPr>
          <w:rFonts w:hint="default" w:ascii="Times New Roman" w:hAnsi="Times New Roman" w:eastAsia="方正仿宋_GBK" w:cs="Times New Roman"/>
          <w:color w:val="auto"/>
          <w:sz w:val="32"/>
          <w:szCs w:val="32"/>
          <w:highlight w:val="none"/>
          <w:lang w:val="en-US" w:eastAsia="zh-CN"/>
        </w:rPr>
        <w:t>515万</w:t>
      </w:r>
      <w:r>
        <w:rPr>
          <w:rFonts w:hint="default" w:ascii="Times New Roman" w:hAnsi="Times New Roman" w:eastAsia="方正仿宋_GBK" w:cs="Times New Roman"/>
          <w:color w:val="auto"/>
          <w:sz w:val="32"/>
          <w:szCs w:val="32"/>
          <w:highlight w:val="none"/>
        </w:rPr>
        <w:t>千瓦。参考202</w:t>
      </w:r>
      <w:r>
        <w:rPr>
          <w:rFonts w:hint="default" w:ascii="Times New Roman" w:hAnsi="Times New Roman" w:eastAsia="方正仿宋_GBK" w:cs="Times New Roman"/>
          <w:color w:val="auto"/>
          <w:sz w:val="32"/>
          <w:szCs w:val="32"/>
          <w:highlight w:val="none"/>
          <w:lang w:val="en-US" w:eastAsia="zh-CN"/>
        </w:rPr>
        <w:t>4</w:t>
      </w:r>
      <w:r>
        <w:rPr>
          <w:rFonts w:hint="default" w:ascii="Times New Roman" w:hAnsi="Times New Roman" w:eastAsia="方正仿宋_GBK" w:cs="Times New Roman"/>
          <w:color w:val="auto"/>
          <w:sz w:val="32"/>
          <w:szCs w:val="32"/>
          <w:highlight w:val="none"/>
        </w:rPr>
        <w:t>年高峰负荷时刻数据，考虑增长因素，202</w:t>
      </w:r>
      <w:r>
        <w:rPr>
          <w:rFonts w:hint="default" w:ascii="Times New Roman" w:hAnsi="Times New Roman" w:eastAsia="方正仿宋_GBK" w:cs="Times New Roman"/>
          <w:color w:val="auto"/>
          <w:sz w:val="32"/>
          <w:szCs w:val="32"/>
          <w:highlight w:val="none"/>
          <w:lang w:val="en-US" w:eastAsia="zh-CN"/>
        </w:rPr>
        <w:t>5</w:t>
      </w:r>
      <w:r>
        <w:rPr>
          <w:rFonts w:hint="default" w:ascii="Times New Roman" w:hAnsi="Times New Roman" w:eastAsia="方正仿宋_GBK" w:cs="Times New Roman"/>
          <w:color w:val="auto"/>
          <w:sz w:val="32"/>
          <w:szCs w:val="32"/>
          <w:highlight w:val="none"/>
        </w:rPr>
        <w:t>年高峰时刻营销分布式新能源出力约130万千瓦。叠加分布式新能源出力后，全网最高负荷在</w:t>
      </w:r>
      <w:r>
        <w:rPr>
          <w:rFonts w:hint="default" w:ascii="Times New Roman" w:hAnsi="Times New Roman" w:eastAsia="方正仿宋_GBK" w:cs="Times New Roman"/>
          <w:color w:val="auto"/>
          <w:sz w:val="32"/>
          <w:szCs w:val="32"/>
          <w:highlight w:val="none"/>
          <w:lang w:val="en-US" w:eastAsia="zh-CN"/>
        </w:rPr>
        <w:t>645万</w:t>
      </w:r>
      <w:r>
        <w:rPr>
          <w:rFonts w:hint="default" w:ascii="Times New Roman" w:hAnsi="Times New Roman" w:eastAsia="方正仿宋_GBK" w:cs="Times New Roman"/>
          <w:color w:val="auto"/>
          <w:sz w:val="32"/>
          <w:szCs w:val="32"/>
          <w:highlight w:val="none"/>
        </w:rPr>
        <w:t>千瓦左右。</w:t>
      </w:r>
    </w:p>
    <w:p>
      <w:pPr>
        <w:pStyle w:val="7"/>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（2）分地区预测法</w:t>
      </w:r>
      <w:bookmarkEnd w:id="81"/>
    </w:p>
    <w:p>
      <w:pPr>
        <w:pStyle w:val="2"/>
        <w:keepNext w:val="0"/>
        <w:keepLines w:val="0"/>
        <w:pageBreakBefore w:val="0"/>
        <w:widowControl w:val="0"/>
        <w:kinsoku/>
        <w:wordWrap/>
        <w:overflowPunct/>
        <w:topLinePunct w:val="0"/>
        <w:autoSpaceDE/>
        <w:autoSpaceDN/>
        <w:bidi w:val="0"/>
        <w:adjustRightInd/>
        <w:snapToGrid/>
        <w:spacing w:before="0" w:after="0" w:line="560" w:lineRule="exact"/>
        <w:ind w:firstLine="600"/>
        <w:textAlignment w:val="auto"/>
        <w:rPr>
          <w:rFonts w:hint="default" w:ascii="Times New Roman" w:hAnsi="Times New Roman" w:eastAsia="方正仿宋_GBK" w:cs="Times New Roman"/>
          <w:color w:val="auto"/>
          <w:kern w:val="2"/>
          <w:sz w:val="32"/>
          <w:szCs w:val="32"/>
          <w:highlight w:val="none"/>
          <w:lang w:val="en-US" w:eastAsia="zh-CN" w:bidi="ar-SA"/>
        </w:rPr>
      </w:pPr>
      <w:bookmarkStart w:id="82" w:name="_Toc16848"/>
      <w:r>
        <w:rPr>
          <w:rFonts w:hint="default" w:ascii="Times New Roman" w:hAnsi="Times New Roman" w:eastAsia="方正仿宋_GBK" w:cs="Times New Roman"/>
          <w:color w:val="auto"/>
          <w:kern w:val="2"/>
          <w:sz w:val="32"/>
          <w:szCs w:val="32"/>
          <w:highlight w:val="none"/>
          <w:lang w:val="en-US" w:eastAsia="zh-CN" w:bidi="ar-SA"/>
        </w:rPr>
        <w:t>2025年迎峰度夏期间市区预计全网最高负荷255万千瓦，沭阳地区预计全网最高负荷180万千瓦，泗阳地区预计全网</w:t>
      </w:r>
      <w:r>
        <w:rPr>
          <w:rFonts w:hint="eastAsia" w:ascii="Times New Roman" w:hAnsi="Times New Roman" w:eastAsia="方正仿宋_GBK" w:cs="Times New Roman"/>
          <w:color w:val="auto"/>
          <w:kern w:val="2"/>
          <w:sz w:val="32"/>
          <w:szCs w:val="32"/>
          <w:highlight w:val="none"/>
          <w:lang w:val="en-US" w:eastAsia="zh-CN" w:bidi="ar-SA"/>
        </w:rPr>
        <w:t>最高</w:t>
      </w:r>
      <w:r>
        <w:rPr>
          <w:rFonts w:hint="default" w:ascii="Times New Roman" w:hAnsi="Times New Roman" w:eastAsia="方正仿宋_GBK" w:cs="Times New Roman"/>
          <w:color w:val="auto"/>
          <w:kern w:val="2"/>
          <w:sz w:val="32"/>
          <w:szCs w:val="32"/>
          <w:highlight w:val="none"/>
          <w:lang w:val="en-US" w:eastAsia="zh-CN" w:bidi="ar-SA"/>
        </w:rPr>
        <w:t>负荷125万千瓦，泗洪地区预计全网最高负荷100万千瓦，考虑近5年负荷同时率约为0.95~0.97，预计2025年迎峰度夏全市全网最高负荷为640万千瓦。</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黑体" w:cs="Times New Roman"/>
          <w:color w:val="auto"/>
          <w:kern w:val="0"/>
          <w:sz w:val="21"/>
          <w:szCs w:val="21"/>
          <w:highlight w:val="none"/>
        </w:rPr>
      </w:pPr>
      <w:r>
        <w:rPr>
          <w:rFonts w:hint="default" w:ascii="Times New Roman" w:hAnsi="Times New Roman" w:eastAsia="黑体" w:cs="Times New Roman"/>
          <w:color w:val="auto"/>
          <w:kern w:val="0"/>
          <w:sz w:val="21"/>
          <w:szCs w:val="21"/>
          <w:highlight w:val="none"/>
        </w:rPr>
        <w:t>表</w:t>
      </w:r>
      <w:r>
        <w:rPr>
          <w:rFonts w:hint="eastAsia" w:ascii="Times New Roman" w:hAnsi="Times New Roman" w:eastAsia="黑体" w:cs="Times New Roman"/>
          <w:color w:val="auto"/>
          <w:kern w:val="0"/>
          <w:sz w:val="21"/>
          <w:szCs w:val="21"/>
          <w:highlight w:val="none"/>
          <w:lang w:val="en-US" w:eastAsia="zh-CN"/>
        </w:rPr>
        <w:t>1</w:t>
      </w:r>
      <w:r>
        <w:rPr>
          <w:rFonts w:hint="default" w:ascii="Times New Roman" w:hAnsi="Times New Roman" w:eastAsia="黑体" w:cs="Times New Roman"/>
          <w:color w:val="auto"/>
          <w:kern w:val="0"/>
          <w:sz w:val="21"/>
          <w:szCs w:val="21"/>
          <w:highlight w:val="none"/>
        </w:rPr>
        <w:t>：202</w:t>
      </w:r>
      <w:r>
        <w:rPr>
          <w:rFonts w:hint="default" w:ascii="Times New Roman" w:hAnsi="Times New Roman" w:eastAsia="黑体" w:cs="Times New Roman"/>
          <w:color w:val="auto"/>
          <w:kern w:val="0"/>
          <w:sz w:val="21"/>
          <w:szCs w:val="21"/>
          <w:highlight w:val="none"/>
          <w:lang w:val="en-US" w:eastAsia="zh-CN"/>
        </w:rPr>
        <w:t>5</w:t>
      </w:r>
      <w:r>
        <w:rPr>
          <w:rFonts w:hint="default" w:ascii="Times New Roman" w:hAnsi="Times New Roman" w:eastAsia="黑体" w:cs="Times New Roman"/>
          <w:color w:val="auto"/>
          <w:kern w:val="0"/>
          <w:sz w:val="21"/>
          <w:szCs w:val="21"/>
          <w:highlight w:val="none"/>
        </w:rPr>
        <w:t>年迎峰度夏期间全市负荷预测情况（万千瓦、％）</w:t>
      </w:r>
    </w:p>
    <w:tbl>
      <w:tblPr>
        <w:tblStyle w:val="13"/>
        <w:tblW w:w="85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1257"/>
        <w:gridCol w:w="2597"/>
        <w:gridCol w:w="2564"/>
        <w:gridCol w:w="20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10" w:hRule="atLeast"/>
        </w:trPr>
        <w:tc>
          <w:tcPr>
            <w:tcW w:w="1257" w:type="dxa"/>
            <w:tcBorders>
              <w:tl2br w:val="nil"/>
              <w:tr2bl w:val="nil"/>
            </w:tcBorders>
            <w:vAlign w:val="center"/>
          </w:tcPr>
          <w:p>
            <w:pPr>
              <w:widowControl/>
              <w:spacing w:line="288" w:lineRule="auto"/>
              <w:jc w:val="both"/>
              <w:textAlignment w:val="baseline"/>
              <w:rPr>
                <w:rFonts w:hint="default" w:ascii="Times New Roman" w:hAnsi="Times New Roman" w:eastAsia="方正仿宋_GBK" w:cs="Times New Roman"/>
                <w:b/>
                <w:bCs/>
                <w:color w:val="auto"/>
                <w:kern w:val="0"/>
                <w:sz w:val="21"/>
                <w:szCs w:val="21"/>
                <w:highlight w:val="none"/>
                <w:lang w:bidi="ar"/>
              </w:rPr>
            </w:pPr>
            <w:r>
              <w:rPr>
                <w:rFonts w:hint="default" w:ascii="Times New Roman" w:hAnsi="Times New Roman" w:eastAsia="方正仿宋_GBK" w:cs="Times New Roman"/>
                <w:b/>
                <w:bCs/>
                <w:color w:val="auto"/>
                <w:kern w:val="0"/>
                <w:sz w:val="21"/>
                <w:szCs w:val="21"/>
                <w:highlight w:val="none"/>
                <w:lang w:eastAsia="zh-CN" w:bidi="ar"/>
              </w:rPr>
              <w:t>地区</w:t>
            </w:r>
          </w:p>
        </w:tc>
        <w:tc>
          <w:tcPr>
            <w:tcW w:w="2597" w:type="dxa"/>
            <w:tcBorders>
              <w:tl2br w:val="nil"/>
              <w:tr2bl w:val="nil"/>
            </w:tcBorders>
            <w:vAlign w:val="center"/>
          </w:tcPr>
          <w:p>
            <w:pPr>
              <w:widowControl/>
              <w:spacing w:line="288" w:lineRule="auto"/>
              <w:jc w:val="center"/>
              <w:textAlignment w:val="baseline"/>
              <w:rPr>
                <w:rFonts w:hint="default" w:ascii="Times New Roman" w:hAnsi="Times New Roman" w:eastAsia="方正仿宋_GBK" w:cs="Times New Roman"/>
                <w:b/>
                <w:bCs/>
                <w:color w:val="auto"/>
                <w:kern w:val="0"/>
                <w:sz w:val="21"/>
                <w:szCs w:val="21"/>
                <w:highlight w:val="none"/>
                <w:lang w:val="en-US" w:eastAsia="zh-CN" w:bidi="ar"/>
              </w:rPr>
            </w:pPr>
            <w:r>
              <w:rPr>
                <w:rFonts w:hint="default" w:ascii="Times New Roman" w:hAnsi="Times New Roman" w:eastAsia="方正仿宋_GBK" w:cs="Times New Roman"/>
                <w:b/>
                <w:bCs/>
                <w:color w:val="auto"/>
                <w:kern w:val="0"/>
                <w:sz w:val="21"/>
                <w:szCs w:val="21"/>
                <w:highlight w:val="none"/>
                <w:lang w:bidi="ar"/>
              </w:rPr>
              <w:t>202</w:t>
            </w:r>
            <w:r>
              <w:rPr>
                <w:rFonts w:hint="default" w:ascii="Times New Roman" w:hAnsi="Times New Roman" w:eastAsia="方正仿宋_GBK" w:cs="Times New Roman"/>
                <w:b/>
                <w:bCs/>
                <w:color w:val="auto"/>
                <w:kern w:val="0"/>
                <w:sz w:val="21"/>
                <w:szCs w:val="21"/>
                <w:highlight w:val="none"/>
                <w:lang w:val="en-US" w:eastAsia="zh-CN" w:bidi="ar"/>
              </w:rPr>
              <w:t>4</w:t>
            </w:r>
            <w:r>
              <w:rPr>
                <w:rFonts w:hint="default" w:ascii="Times New Roman" w:hAnsi="Times New Roman" w:eastAsia="方正仿宋_GBK" w:cs="Times New Roman"/>
                <w:b/>
                <w:bCs/>
                <w:color w:val="auto"/>
                <w:kern w:val="0"/>
                <w:sz w:val="21"/>
                <w:szCs w:val="21"/>
                <w:highlight w:val="none"/>
                <w:lang w:bidi="ar"/>
              </w:rPr>
              <w:t>年</w:t>
            </w:r>
            <w:r>
              <w:rPr>
                <w:rFonts w:hint="default" w:ascii="Times New Roman" w:hAnsi="Times New Roman" w:eastAsia="方正仿宋_GBK" w:cs="Times New Roman"/>
                <w:b/>
                <w:bCs/>
                <w:color w:val="auto"/>
                <w:kern w:val="0"/>
                <w:sz w:val="21"/>
                <w:szCs w:val="21"/>
                <w:highlight w:val="none"/>
                <w:lang w:eastAsia="zh-CN" w:bidi="ar"/>
              </w:rPr>
              <w:t>最高（夏季）</w:t>
            </w:r>
          </w:p>
        </w:tc>
        <w:tc>
          <w:tcPr>
            <w:tcW w:w="2564" w:type="dxa"/>
            <w:tcBorders>
              <w:tl2br w:val="nil"/>
              <w:tr2bl w:val="nil"/>
            </w:tcBorders>
            <w:vAlign w:val="center"/>
          </w:tcPr>
          <w:p>
            <w:pPr>
              <w:widowControl/>
              <w:spacing w:line="288" w:lineRule="auto"/>
              <w:jc w:val="center"/>
              <w:textAlignment w:val="baseline"/>
              <w:rPr>
                <w:rFonts w:hint="default" w:ascii="Times New Roman" w:hAnsi="Times New Roman" w:eastAsia="方正仿宋_GBK" w:cs="Times New Roman"/>
                <w:b/>
                <w:bCs/>
                <w:color w:val="auto"/>
                <w:kern w:val="0"/>
                <w:sz w:val="21"/>
                <w:szCs w:val="21"/>
                <w:highlight w:val="none"/>
                <w:lang w:val="en-US" w:eastAsia="zh-CN" w:bidi="ar"/>
              </w:rPr>
            </w:pPr>
            <w:r>
              <w:rPr>
                <w:rFonts w:hint="default" w:ascii="Times New Roman" w:hAnsi="Times New Roman" w:eastAsia="方正仿宋_GBK" w:cs="Times New Roman"/>
                <w:b/>
                <w:bCs/>
                <w:color w:val="auto"/>
                <w:kern w:val="0"/>
                <w:sz w:val="21"/>
                <w:szCs w:val="21"/>
                <w:highlight w:val="none"/>
                <w:lang w:bidi="ar"/>
              </w:rPr>
              <w:t>202</w:t>
            </w:r>
            <w:r>
              <w:rPr>
                <w:rFonts w:hint="default" w:ascii="Times New Roman" w:hAnsi="Times New Roman" w:eastAsia="方正仿宋_GBK" w:cs="Times New Roman"/>
                <w:b/>
                <w:bCs/>
                <w:color w:val="auto"/>
                <w:kern w:val="0"/>
                <w:sz w:val="21"/>
                <w:szCs w:val="21"/>
                <w:highlight w:val="none"/>
                <w:lang w:val="en-US" w:eastAsia="zh-CN" w:bidi="ar"/>
              </w:rPr>
              <w:t>5</w:t>
            </w:r>
            <w:r>
              <w:rPr>
                <w:rFonts w:hint="default" w:ascii="Times New Roman" w:hAnsi="Times New Roman" w:eastAsia="方正仿宋_GBK" w:cs="Times New Roman"/>
                <w:b/>
                <w:bCs/>
                <w:color w:val="auto"/>
                <w:kern w:val="0"/>
                <w:sz w:val="21"/>
                <w:szCs w:val="21"/>
                <w:highlight w:val="none"/>
                <w:lang w:bidi="ar"/>
              </w:rPr>
              <w:t>年</w:t>
            </w:r>
            <w:r>
              <w:rPr>
                <w:rFonts w:hint="default" w:ascii="Times New Roman" w:hAnsi="Times New Roman" w:eastAsia="方正仿宋_GBK" w:cs="Times New Roman"/>
                <w:b/>
                <w:bCs/>
                <w:color w:val="auto"/>
                <w:kern w:val="0"/>
                <w:sz w:val="21"/>
                <w:szCs w:val="21"/>
                <w:highlight w:val="none"/>
                <w:lang w:eastAsia="zh-CN" w:bidi="ar"/>
              </w:rPr>
              <w:t>最高（</w:t>
            </w:r>
            <w:r>
              <w:rPr>
                <w:rFonts w:hint="default" w:ascii="Times New Roman" w:hAnsi="Times New Roman" w:eastAsia="方正仿宋_GBK" w:cs="Times New Roman"/>
                <w:b/>
                <w:bCs/>
                <w:color w:val="auto"/>
                <w:kern w:val="0"/>
                <w:sz w:val="21"/>
                <w:szCs w:val="21"/>
                <w:highlight w:val="none"/>
                <w:lang w:bidi="ar"/>
              </w:rPr>
              <w:t>预测</w:t>
            </w:r>
            <w:r>
              <w:rPr>
                <w:rFonts w:hint="default" w:ascii="Times New Roman" w:hAnsi="Times New Roman" w:eastAsia="方正仿宋_GBK" w:cs="Times New Roman"/>
                <w:b/>
                <w:bCs/>
                <w:color w:val="auto"/>
                <w:kern w:val="0"/>
                <w:sz w:val="21"/>
                <w:szCs w:val="21"/>
                <w:highlight w:val="none"/>
                <w:lang w:eastAsia="zh-CN" w:bidi="ar"/>
              </w:rPr>
              <w:t>）</w:t>
            </w:r>
          </w:p>
        </w:tc>
        <w:tc>
          <w:tcPr>
            <w:tcW w:w="2082" w:type="dxa"/>
            <w:tcBorders>
              <w:tl2br w:val="nil"/>
              <w:tr2bl w:val="nil"/>
            </w:tcBorders>
            <w:vAlign w:val="center"/>
          </w:tcPr>
          <w:p>
            <w:pPr>
              <w:widowControl/>
              <w:spacing w:line="288" w:lineRule="auto"/>
              <w:jc w:val="center"/>
              <w:textAlignment w:val="baseline"/>
              <w:rPr>
                <w:rFonts w:hint="default" w:ascii="Times New Roman" w:hAnsi="Times New Roman" w:eastAsia="方正仿宋_GBK" w:cs="Times New Roman"/>
                <w:b/>
                <w:bCs/>
                <w:color w:val="auto"/>
                <w:kern w:val="0"/>
                <w:sz w:val="21"/>
                <w:szCs w:val="21"/>
                <w:highlight w:val="none"/>
                <w:lang w:val="en-US" w:eastAsia="zh-CN" w:bidi="ar"/>
              </w:rPr>
            </w:pPr>
            <w:r>
              <w:rPr>
                <w:rFonts w:hint="default" w:ascii="Times New Roman" w:hAnsi="Times New Roman" w:eastAsia="方正仿宋_GBK" w:cs="Times New Roman"/>
                <w:b/>
                <w:bCs/>
                <w:color w:val="auto"/>
                <w:kern w:val="0"/>
                <w:sz w:val="21"/>
                <w:szCs w:val="21"/>
                <w:highlight w:val="none"/>
                <w:lang w:bidi="ar"/>
              </w:rPr>
              <w:t>增长率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10" w:hRule="atLeast"/>
        </w:trPr>
        <w:tc>
          <w:tcPr>
            <w:tcW w:w="1257" w:type="dxa"/>
            <w:tcBorders>
              <w:tl2br w:val="nil"/>
              <w:tr2bl w:val="nil"/>
            </w:tcBorders>
            <w:vAlign w:val="center"/>
          </w:tcPr>
          <w:p>
            <w:pPr>
              <w:widowControl/>
              <w:spacing w:line="288" w:lineRule="auto"/>
              <w:jc w:val="both"/>
              <w:textAlignment w:val="center"/>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bidi="ar"/>
              </w:rPr>
              <w:t>市 区</w:t>
            </w:r>
          </w:p>
        </w:tc>
        <w:tc>
          <w:tcPr>
            <w:tcW w:w="2597" w:type="dxa"/>
            <w:tcBorders>
              <w:tl2br w:val="nil"/>
              <w:tr2bl w:val="nil"/>
            </w:tcBorders>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239.76</w:t>
            </w:r>
          </w:p>
        </w:tc>
        <w:tc>
          <w:tcPr>
            <w:tcW w:w="2564" w:type="dxa"/>
            <w:tcBorders>
              <w:tl2br w:val="nil"/>
              <w:tr2bl w:val="nil"/>
            </w:tcBorders>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255</w:t>
            </w:r>
          </w:p>
        </w:tc>
        <w:tc>
          <w:tcPr>
            <w:tcW w:w="2082" w:type="dxa"/>
            <w:tcBorders>
              <w:tl2br w:val="nil"/>
              <w:tr2bl w:val="nil"/>
            </w:tcBorders>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6.36%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10" w:hRule="atLeast"/>
        </w:trPr>
        <w:tc>
          <w:tcPr>
            <w:tcW w:w="1257" w:type="dxa"/>
            <w:tcBorders>
              <w:tl2br w:val="nil"/>
              <w:tr2bl w:val="nil"/>
            </w:tcBorders>
            <w:vAlign w:val="center"/>
          </w:tcPr>
          <w:p>
            <w:pPr>
              <w:widowControl/>
              <w:spacing w:line="288" w:lineRule="auto"/>
              <w:jc w:val="both"/>
              <w:textAlignment w:val="center"/>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bidi="ar"/>
              </w:rPr>
              <w:t>沭 阳</w:t>
            </w:r>
          </w:p>
        </w:tc>
        <w:tc>
          <w:tcPr>
            <w:tcW w:w="2597" w:type="dxa"/>
            <w:tcBorders>
              <w:tl2br w:val="nil"/>
              <w:tr2bl w:val="nil"/>
            </w:tcBorders>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170.3</w:t>
            </w:r>
          </w:p>
        </w:tc>
        <w:tc>
          <w:tcPr>
            <w:tcW w:w="2564" w:type="dxa"/>
            <w:tcBorders>
              <w:tl2br w:val="nil"/>
              <w:tr2bl w:val="nil"/>
            </w:tcBorders>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bidi="ar"/>
              </w:rPr>
              <w:t>1</w:t>
            </w:r>
            <w:r>
              <w:rPr>
                <w:rFonts w:hint="default" w:ascii="Times New Roman" w:hAnsi="Times New Roman" w:eastAsia="方正仿宋_GBK" w:cs="Times New Roman"/>
                <w:color w:val="auto"/>
                <w:kern w:val="0"/>
                <w:sz w:val="21"/>
                <w:szCs w:val="21"/>
                <w:highlight w:val="none"/>
                <w:lang w:val="en-US" w:eastAsia="zh-CN" w:bidi="ar"/>
              </w:rPr>
              <w:t>80</w:t>
            </w:r>
          </w:p>
        </w:tc>
        <w:tc>
          <w:tcPr>
            <w:tcW w:w="2082" w:type="dxa"/>
            <w:tcBorders>
              <w:tl2br w:val="nil"/>
              <w:tr2bl w:val="nil"/>
            </w:tcBorders>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5.70%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10" w:hRule="atLeast"/>
        </w:trPr>
        <w:tc>
          <w:tcPr>
            <w:tcW w:w="1257" w:type="dxa"/>
            <w:tcBorders>
              <w:tl2br w:val="nil"/>
              <w:tr2bl w:val="nil"/>
            </w:tcBorders>
            <w:vAlign w:val="center"/>
          </w:tcPr>
          <w:p>
            <w:pPr>
              <w:widowControl/>
              <w:spacing w:line="288" w:lineRule="auto"/>
              <w:jc w:val="both"/>
              <w:textAlignment w:val="center"/>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bidi="ar"/>
              </w:rPr>
              <w:t>泗 阳</w:t>
            </w:r>
          </w:p>
        </w:tc>
        <w:tc>
          <w:tcPr>
            <w:tcW w:w="2597" w:type="dxa"/>
            <w:tcBorders>
              <w:tl2br w:val="nil"/>
              <w:tr2bl w:val="nil"/>
            </w:tcBorders>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115.6</w:t>
            </w:r>
          </w:p>
        </w:tc>
        <w:tc>
          <w:tcPr>
            <w:tcW w:w="2564" w:type="dxa"/>
            <w:tcBorders>
              <w:tl2br w:val="nil"/>
              <w:tr2bl w:val="nil"/>
            </w:tcBorders>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bidi="ar"/>
              </w:rPr>
              <w:t>1</w:t>
            </w:r>
            <w:r>
              <w:rPr>
                <w:rFonts w:hint="default" w:ascii="Times New Roman" w:hAnsi="Times New Roman" w:eastAsia="方正仿宋_GBK" w:cs="Times New Roman"/>
                <w:color w:val="auto"/>
                <w:kern w:val="0"/>
                <w:sz w:val="21"/>
                <w:szCs w:val="21"/>
                <w:highlight w:val="none"/>
                <w:lang w:val="en-US" w:eastAsia="zh-CN" w:bidi="ar"/>
              </w:rPr>
              <w:t>25</w:t>
            </w:r>
          </w:p>
        </w:tc>
        <w:tc>
          <w:tcPr>
            <w:tcW w:w="2082" w:type="dxa"/>
            <w:tcBorders>
              <w:tl2br w:val="nil"/>
              <w:tr2bl w:val="nil"/>
            </w:tcBorders>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8.13%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10" w:hRule="atLeast"/>
        </w:trPr>
        <w:tc>
          <w:tcPr>
            <w:tcW w:w="1257" w:type="dxa"/>
            <w:tcBorders>
              <w:tl2br w:val="nil"/>
              <w:tr2bl w:val="nil"/>
            </w:tcBorders>
            <w:vAlign w:val="center"/>
          </w:tcPr>
          <w:p>
            <w:pPr>
              <w:widowControl/>
              <w:spacing w:line="288" w:lineRule="auto"/>
              <w:jc w:val="both"/>
              <w:textAlignment w:val="center"/>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bidi="ar"/>
              </w:rPr>
              <w:t>泗 洪</w:t>
            </w:r>
          </w:p>
        </w:tc>
        <w:tc>
          <w:tcPr>
            <w:tcW w:w="2597" w:type="dxa"/>
            <w:tcBorders>
              <w:tl2br w:val="nil"/>
              <w:tr2bl w:val="nil"/>
            </w:tcBorders>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91.23</w:t>
            </w:r>
          </w:p>
        </w:tc>
        <w:tc>
          <w:tcPr>
            <w:tcW w:w="2564" w:type="dxa"/>
            <w:tcBorders>
              <w:tl2br w:val="nil"/>
              <w:tr2bl w:val="nil"/>
            </w:tcBorders>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100</w:t>
            </w:r>
          </w:p>
        </w:tc>
        <w:tc>
          <w:tcPr>
            <w:tcW w:w="2082" w:type="dxa"/>
            <w:tcBorders>
              <w:tl2br w:val="nil"/>
              <w:tr2bl w:val="nil"/>
            </w:tcBorders>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9.61%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10" w:hRule="atLeast"/>
        </w:trPr>
        <w:tc>
          <w:tcPr>
            <w:tcW w:w="1257" w:type="dxa"/>
            <w:tcBorders>
              <w:tl2br w:val="nil"/>
              <w:tr2bl w:val="nil"/>
            </w:tcBorders>
            <w:vAlign w:val="center"/>
          </w:tcPr>
          <w:p>
            <w:pPr>
              <w:widowControl/>
              <w:spacing w:line="288" w:lineRule="auto"/>
              <w:jc w:val="both"/>
              <w:textAlignment w:val="center"/>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同时率</w:t>
            </w:r>
          </w:p>
        </w:tc>
        <w:tc>
          <w:tcPr>
            <w:tcW w:w="2597" w:type="dxa"/>
            <w:tcBorders>
              <w:tl2br w:val="nil"/>
              <w:tr2bl w:val="nil"/>
            </w:tcBorders>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97.2%</w:t>
            </w:r>
          </w:p>
        </w:tc>
        <w:tc>
          <w:tcPr>
            <w:tcW w:w="2564" w:type="dxa"/>
            <w:tcBorders>
              <w:tl2br w:val="nil"/>
              <w:tr2bl w:val="nil"/>
            </w:tcBorders>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97%</w:t>
            </w:r>
          </w:p>
        </w:tc>
        <w:tc>
          <w:tcPr>
            <w:tcW w:w="2082" w:type="dxa"/>
            <w:tcBorders>
              <w:tl2br w:val="nil"/>
              <w:tr2bl w:val="nil"/>
            </w:tcBorders>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545" w:hRule="atLeast"/>
        </w:trPr>
        <w:tc>
          <w:tcPr>
            <w:tcW w:w="1257" w:type="dxa"/>
            <w:tcBorders>
              <w:tl2br w:val="nil"/>
              <w:tr2bl w:val="nil"/>
            </w:tcBorders>
            <w:vAlign w:val="center"/>
          </w:tcPr>
          <w:p>
            <w:pPr>
              <w:widowControl/>
              <w:spacing w:line="288" w:lineRule="auto"/>
              <w:jc w:val="both"/>
              <w:textAlignment w:val="center"/>
              <w:rPr>
                <w:rFonts w:hint="default" w:ascii="Times New Roman" w:hAnsi="Times New Roman" w:eastAsia="方正仿宋_GBK" w:cs="Times New Roman"/>
                <w:color w:val="auto"/>
                <w:kern w:val="0"/>
                <w:sz w:val="21"/>
                <w:szCs w:val="21"/>
                <w:highlight w:val="none"/>
                <w:lang w:eastAsia="zh-CN" w:bidi="ar"/>
              </w:rPr>
            </w:pPr>
            <w:r>
              <w:rPr>
                <w:rFonts w:hint="default" w:ascii="Times New Roman" w:hAnsi="Times New Roman" w:eastAsia="方正仿宋_GBK" w:cs="Times New Roman"/>
                <w:color w:val="auto"/>
                <w:kern w:val="0"/>
                <w:sz w:val="21"/>
                <w:szCs w:val="21"/>
                <w:highlight w:val="none"/>
                <w:lang w:bidi="ar"/>
              </w:rPr>
              <w:t>全 市</w:t>
            </w:r>
          </w:p>
        </w:tc>
        <w:tc>
          <w:tcPr>
            <w:tcW w:w="259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方正仿宋_GBK" w:cs="Times New Roman"/>
                <w:b/>
                <w:bCs/>
                <w:i w:val="0"/>
                <w:iCs w:val="0"/>
                <w:color w:val="auto"/>
                <w:kern w:val="0"/>
                <w:sz w:val="21"/>
                <w:szCs w:val="21"/>
                <w:highlight w:val="none"/>
                <w:u w:val="none"/>
                <w:lang w:val="en-US" w:eastAsia="zh-CN" w:bidi="ar"/>
              </w:rPr>
            </w:pPr>
            <w:r>
              <w:rPr>
                <w:rFonts w:hint="default" w:ascii="Times New Roman" w:hAnsi="Times New Roman" w:eastAsia="方正仿宋_GBK" w:cs="Times New Roman"/>
                <w:b/>
                <w:bCs/>
                <w:i w:val="0"/>
                <w:iCs w:val="0"/>
                <w:color w:val="auto"/>
                <w:kern w:val="0"/>
                <w:sz w:val="21"/>
                <w:szCs w:val="21"/>
                <w:highlight w:val="none"/>
                <w:u w:val="none"/>
                <w:lang w:val="en-US" w:eastAsia="zh-CN" w:bidi="ar"/>
              </w:rPr>
              <w:t>599.7</w:t>
            </w:r>
          </w:p>
        </w:tc>
        <w:tc>
          <w:tcPr>
            <w:tcW w:w="2564" w:type="dxa"/>
            <w:tcBorders>
              <w:tl2br w:val="nil"/>
              <w:tr2bl w:val="nil"/>
            </w:tcBorders>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640</w:t>
            </w:r>
          </w:p>
        </w:tc>
        <w:tc>
          <w:tcPr>
            <w:tcW w:w="2082" w:type="dxa"/>
            <w:tcBorders>
              <w:tl2br w:val="nil"/>
              <w:tr2bl w:val="nil"/>
            </w:tcBorders>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6.72%</w:t>
            </w:r>
          </w:p>
        </w:tc>
      </w:tr>
    </w:tbl>
    <w:p>
      <w:pPr>
        <w:pStyle w:val="7"/>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（3）基础预测方法</w:t>
      </w:r>
      <w:bookmarkEnd w:id="82"/>
    </w:p>
    <w:p>
      <w:pPr>
        <w:ind w:firstLine="640"/>
        <w:rPr>
          <w:rFonts w:hint="default" w:ascii="Times New Roman" w:hAnsi="Times New Roman" w:eastAsia="方正仿宋_GBK" w:cs="Times New Roman"/>
          <w:color w:val="auto"/>
          <w:sz w:val="32"/>
          <w:szCs w:val="32"/>
          <w:highlight w:val="none"/>
          <w:lang w:val="en-US" w:eastAsia="zh-CN"/>
        </w:rPr>
      </w:pPr>
      <w:bookmarkStart w:id="83" w:name="_Toc1377"/>
      <w:r>
        <w:rPr>
          <w:rFonts w:hint="default" w:ascii="Times New Roman" w:hAnsi="Times New Roman" w:eastAsia="方正仿宋_GBK" w:cs="Times New Roman"/>
          <w:color w:val="auto"/>
          <w:sz w:val="32"/>
          <w:szCs w:val="32"/>
          <w:highlight w:val="none"/>
          <w:lang w:val="en-US" w:eastAsia="zh-CN"/>
        </w:rPr>
        <w:t>2024年4-5月份连续无空调负荷时间段，基础负荷约355万千瓦，通过对连续5年电网负荷曲线分解计算得出基础负荷平均增长率7.37%。预计2025年迎峰度夏期间基础负荷为380万千瓦。2025年7-8月份气象条件按2023年及2024年同期综合考虑，宿迁地区空调负荷预计255万千瓦，预计全网最大负荷将达到635万千瓦。</w:t>
      </w:r>
    </w:p>
    <w:p>
      <w:pPr>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br w:type="page"/>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仿宋_GBK" w:cs="Times New Roman"/>
          <w:color w:val="auto"/>
          <w:kern w:val="0"/>
          <w:sz w:val="21"/>
          <w:szCs w:val="21"/>
          <w:highlight w:val="none"/>
        </w:rPr>
      </w:pPr>
      <w:r>
        <w:rPr>
          <w:rFonts w:hint="default" w:ascii="Times New Roman" w:hAnsi="Times New Roman" w:eastAsia="方正仿宋_GBK" w:cs="Times New Roman"/>
          <w:color w:val="auto"/>
          <w:kern w:val="0"/>
          <w:sz w:val="21"/>
          <w:szCs w:val="21"/>
          <w:highlight w:val="none"/>
        </w:rPr>
        <w:t>表</w:t>
      </w:r>
      <w:r>
        <w:rPr>
          <w:rFonts w:hint="eastAsia" w:ascii="Times New Roman" w:hAnsi="Times New Roman" w:eastAsia="方正仿宋_GBK" w:cs="Times New Roman"/>
          <w:color w:val="auto"/>
          <w:kern w:val="0"/>
          <w:sz w:val="21"/>
          <w:szCs w:val="21"/>
          <w:highlight w:val="none"/>
          <w:lang w:val="en-US" w:eastAsia="zh-CN"/>
        </w:rPr>
        <w:t>2</w:t>
      </w:r>
      <w:r>
        <w:rPr>
          <w:rFonts w:hint="default" w:ascii="Times New Roman" w:hAnsi="Times New Roman" w:eastAsia="方正仿宋_GBK" w:cs="Times New Roman"/>
          <w:color w:val="auto"/>
          <w:kern w:val="0"/>
          <w:sz w:val="21"/>
          <w:szCs w:val="21"/>
          <w:highlight w:val="none"/>
        </w:rPr>
        <w:t>：201</w:t>
      </w:r>
      <w:r>
        <w:rPr>
          <w:rFonts w:hint="default" w:ascii="Times New Roman" w:hAnsi="Times New Roman" w:eastAsia="方正仿宋_GBK" w:cs="Times New Roman"/>
          <w:color w:val="auto"/>
          <w:kern w:val="0"/>
          <w:sz w:val="21"/>
          <w:szCs w:val="21"/>
          <w:highlight w:val="none"/>
          <w:lang w:val="en-US" w:eastAsia="zh-CN"/>
        </w:rPr>
        <w:t>8</w:t>
      </w:r>
      <w:r>
        <w:rPr>
          <w:rFonts w:hint="default" w:ascii="Times New Roman" w:hAnsi="Times New Roman" w:eastAsia="方正仿宋_GBK" w:cs="Times New Roman"/>
          <w:color w:val="auto"/>
          <w:kern w:val="0"/>
          <w:sz w:val="21"/>
          <w:szCs w:val="21"/>
          <w:highlight w:val="none"/>
        </w:rPr>
        <w:t>-202</w:t>
      </w:r>
      <w:r>
        <w:rPr>
          <w:rFonts w:hint="default" w:ascii="Times New Roman" w:hAnsi="Times New Roman" w:eastAsia="方正仿宋_GBK" w:cs="Times New Roman"/>
          <w:color w:val="auto"/>
          <w:kern w:val="0"/>
          <w:sz w:val="21"/>
          <w:szCs w:val="21"/>
          <w:highlight w:val="none"/>
          <w:lang w:val="en-US" w:eastAsia="zh-CN"/>
        </w:rPr>
        <w:t>5</w:t>
      </w:r>
      <w:r>
        <w:rPr>
          <w:rFonts w:hint="default" w:ascii="Times New Roman" w:hAnsi="Times New Roman" w:eastAsia="方正仿宋_GBK" w:cs="Times New Roman"/>
          <w:color w:val="auto"/>
          <w:kern w:val="0"/>
          <w:sz w:val="21"/>
          <w:szCs w:val="21"/>
          <w:highlight w:val="none"/>
        </w:rPr>
        <w:t>年迎峰度夏期间全市负荷情况（万千瓦、％）</w:t>
      </w:r>
    </w:p>
    <w:tbl>
      <w:tblPr>
        <w:tblStyle w:val="13"/>
        <w:tblW w:w="9011" w:type="dxa"/>
        <w:jc w:val="center"/>
        <w:tblInd w:w="0" w:type="dxa"/>
        <w:tblLayout w:type="fixed"/>
        <w:tblCellMar>
          <w:top w:w="0" w:type="dxa"/>
          <w:left w:w="0" w:type="dxa"/>
          <w:bottom w:w="0" w:type="dxa"/>
          <w:right w:w="0" w:type="dxa"/>
        </w:tblCellMar>
      </w:tblPr>
      <w:tblGrid>
        <w:gridCol w:w="1186"/>
        <w:gridCol w:w="1117"/>
        <w:gridCol w:w="1117"/>
        <w:gridCol w:w="1117"/>
        <w:gridCol w:w="1117"/>
        <w:gridCol w:w="1117"/>
        <w:gridCol w:w="1117"/>
        <w:gridCol w:w="1123"/>
      </w:tblGrid>
      <w:tr>
        <w:tblPrEx>
          <w:tblLayout w:type="fixed"/>
          <w:tblCellMar>
            <w:top w:w="0" w:type="dxa"/>
            <w:left w:w="0" w:type="dxa"/>
            <w:bottom w:w="0" w:type="dxa"/>
            <w:right w:w="0" w:type="dxa"/>
          </w:tblCellMar>
        </w:tblPrEx>
        <w:trPr>
          <w:trHeight w:val="720" w:hRule="atLeast"/>
          <w:jc w:val="center"/>
        </w:trPr>
        <w:tc>
          <w:tcPr>
            <w:tcW w:w="1186"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方正仿宋_GBK" w:cs="Times New Roman"/>
                <w:b/>
                <w:color w:val="auto"/>
                <w:sz w:val="21"/>
                <w:szCs w:val="21"/>
                <w:highlight w:val="none"/>
              </w:rPr>
            </w:pPr>
            <w:r>
              <w:rPr>
                <w:rFonts w:hint="default" w:ascii="Times New Roman" w:hAnsi="Times New Roman" w:eastAsia="方正仿宋_GBK" w:cs="Times New Roman"/>
                <w:b/>
                <w:color w:val="auto"/>
                <w:kern w:val="0"/>
                <w:sz w:val="21"/>
                <w:szCs w:val="21"/>
                <w:highlight w:val="none"/>
                <w:lang w:bidi="ar"/>
              </w:rPr>
              <w:t>年 份</w:t>
            </w:r>
          </w:p>
        </w:tc>
        <w:tc>
          <w:tcPr>
            <w:tcW w:w="1117"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方正仿宋_GBK" w:cs="Times New Roman"/>
                <w:b/>
                <w:color w:val="auto"/>
                <w:sz w:val="21"/>
                <w:szCs w:val="21"/>
                <w:highlight w:val="none"/>
              </w:rPr>
            </w:pPr>
            <w:r>
              <w:rPr>
                <w:rFonts w:hint="default" w:ascii="Times New Roman" w:hAnsi="Times New Roman" w:eastAsia="方正仿宋_GBK" w:cs="Times New Roman"/>
                <w:b/>
                <w:color w:val="auto"/>
                <w:kern w:val="0"/>
                <w:sz w:val="21"/>
                <w:szCs w:val="21"/>
                <w:highlight w:val="none"/>
                <w:lang w:bidi="ar"/>
              </w:rPr>
              <w:t>时 间</w:t>
            </w:r>
          </w:p>
        </w:tc>
        <w:tc>
          <w:tcPr>
            <w:tcW w:w="1117"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方正仿宋_GBK" w:cs="Times New Roman"/>
                <w:b/>
                <w:color w:val="auto"/>
                <w:sz w:val="21"/>
                <w:szCs w:val="21"/>
                <w:highlight w:val="none"/>
              </w:rPr>
            </w:pPr>
            <w:r>
              <w:rPr>
                <w:rFonts w:hint="default" w:ascii="Times New Roman" w:hAnsi="Times New Roman" w:eastAsia="方正仿宋_GBK" w:cs="Times New Roman"/>
                <w:b/>
                <w:color w:val="auto"/>
                <w:kern w:val="0"/>
                <w:sz w:val="21"/>
                <w:szCs w:val="21"/>
                <w:highlight w:val="none"/>
                <w:lang w:bidi="ar"/>
              </w:rPr>
              <w:t>最</w:t>
            </w:r>
            <w:r>
              <w:rPr>
                <w:rFonts w:hint="default" w:ascii="Times New Roman" w:hAnsi="Times New Roman" w:eastAsia="方正仿宋_GBK" w:cs="Times New Roman"/>
                <w:b/>
                <w:color w:val="auto"/>
                <w:kern w:val="0"/>
                <w:sz w:val="21"/>
                <w:szCs w:val="21"/>
                <w:highlight w:val="none"/>
                <w:lang w:eastAsia="zh-CN" w:bidi="ar"/>
              </w:rPr>
              <w:t>高</w:t>
            </w:r>
            <w:r>
              <w:rPr>
                <w:rFonts w:hint="default" w:ascii="Times New Roman" w:hAnsi="Times New Roman" w:eastAsia="方正仿宋_GBK" w:cs="Times New Roman"/>
                <w:b/>
                <w:color w:val="auto"/>
                <w:kern w:val="0"/>
                <w:sz w:val="21"/>
                <w:szCs w:val="21"/>
                <w:highlight w:val="none"/>
                <w:lang w:bidi="ar"/>
              </w:rPr>
              <w:t>负荷</w:t>
            </w:r>
          </w:p>
        </w:tc>
        <w:tc>
          <w:tcPr>
            <w:tcW w:w="1117"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方正仿宋_GBK" w:cs="Times New Roman"/>
                <w:b/>
                <w:color w:val="auto"/>
                <w:sz w:val="21"/>
                <w:szCs w:val="21"/>
                <w:highlight w:val="none"/>
              </w:rPr>
            </w:pPr>
            <w:r>
              <w:rPr>
                <w:rFonts w:hint="default" w:ascii="Times New Roman" w:hAnsi="Times New Roman" w:eastAsia="方正仿宋_GBK" w:cs="Times New Roman"/>
                <w:b/>
                <w:color w:val="auto"/>
                <w:kern w:val="0"/>
                <w:sz w:val="21"/>
                <w:szCs w:val="21"/>
                <w:highlight w:val="none"/>
                <w:lang w:bidi="ar"/>
              </w:rPr>
              <w:t>基础负荷</w:t>
            </w:r>
          </w:p>
        </w:tc>
        <w:tc>
          <w:tcPr>
            <w:tcW w:w="1117"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方正仿宋_GBK" w:cs="Times New Roman"/>
                <w:b/>
                <w:color w:val="auto"/>
                <w:sz w:val="21"/>
                <w:szCs w:val="21"/>
                <w:highlight w:val="none"/>
              </w:rPr>
            </w:pPr>
            <w:r>
              <w:rPr>
                <w:rFonts w:hint="default" w:ascii="Times New Roman" w:hAnsi="Times New Roman" w:eastAsia="方正仿宋_GBK" w:cs="Times New Roman"/>
                <w:b/>
                <w:color w:val="auto"/>
                <w:kern w:val="0"/>
                <w:sz w:val="21"/>
                <w:szCs w:val="21"/>
                <w:highlight w:val="none"/>
                <w:lang w:eastAsia="zh-CN" w:bidi="ar"/>
              </w:rPr>
              <w:t>空调</w:t>
            </w:r>
            <w:r>
              <w:rPr>
                <w:rFonts w:hint="default" w:ascii="Times New Roman" w:hAnsi="Times New Roman" w:eastAsia="方正仿宋_GBK" w:cs="Times New Roman"/>
                <w:b/>
                <w:color w:val="auto"/>
                <w:kern w:val="0"/>
                <w:sz w:val="21"/>
                <w:szCs w:val="21"/>
                <w:highlight w:val="none"/>
                <w:lang w:bidi="ar"/>
              </w:rPr>
              <w:t>负荷</w:t>
            </w:r>
          </w:p>
        </w:tc>
        <w:tc>
          <w:tcPr>
            <w:tcW w:w="1117"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方正仿宋_GBK" w:cs="Times New Roman"/>
                <w:b/>
                <w:color w:val="auto"/>
                <w:kern w:val="0"/>
                <w:sz w:val="21"/>
                <w:szCs w:val="21"/>
                <w:highlight w:val="none"/>
                <w:lang w:bidi="ar"/>
              </w:rPr>
            </w:pPr>
            <w:r>
              <w:rPr>
                <w:rFonts w:hint="default" w:ascii="Times New Roman" w:hAnsi="Times New Roman" w:eastAsia="方正仿宋_GBK" w:cs="Times New Roman"/>
                <w:b/>
                <w:color w:val="auto"/>
                <w:kern w:val="0"/>
                <w:sz w:val="21"/>
                <w:szCs w:val="21"/>
                <w:highlight w:val="none"/>
                <w:lang w:bidi="ar"/>
              </w:rPr>
              <w:t>最</w:t>
            </w:r>
            <w:r>
              <w:rPr>
                <w:rFonts w:hint="default" w:ascii="Times New Roman" w:hAnsi="Times New Roman" w:eastAsia="方正仿宋_GBK" w:cs="Times New Roman"/>
                <w:b/>
                <w:color w:val="auto"/>
                <w:kern w:val="0"/>
                <w:sz w:val="21"/>
                <w:szCs w:val="21"/>
                <w:highlight w:val="none"/>
                <w:lang w:eastAsia="zh-CN" w:bidi="ar"/>
              </w:rPr>
              <w:t>高</w:t>
            </w:r>
            <w:r>
              <w:rPr>
                <w:rFonts w:hint="default" w:ascii="Times New Roman" w:hAnsi="Times New Roman" w:eastAsia="方正仿宋_GBK" w:cs="Times New Roman"/>
                <w:b/>
                <w:color w:val="auto"/>
                <w:kern w:val="0"/>
                <w:sz w:val="21"/>
                <w:szCs w:val="21"/>
                <w:highlight w:val="none"/>
                <w:lang w:bidi="ar"/>
              </w:rPr>
              <w:t>负荷</w:t>
            </w:r>
          </w:p>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方正仿宋_GBK" w:cs="Times New Roman"/>
                <w:b/>
                <w:color w:val="auto"/>
                <w:sz w:val="21"/>
                <w:szCs w:val="21"/>
                <w:highlight w:val="none"/>
              </w:rPr>
            </w:pPr>
            <w:r>
              <w:rPr>
                <w:rFonts w:hint="default" w:ascii="Times New Roman" w:hAnsi="Times New Roman" w:eastAsia="方正仿宋_GBK" w:cs="Times New Roman"/>
                <w:b/>
                <w:color w:val="auto"/>
                <w:kern w:val="0"/>
                <w:sz w:val="21"/>
                <w:szCs w:val="21"/>
                <w:highlight w:val="none"/>
                <w:lang w:bidi="ar"/>
              </w:rPr>
              <w:t>增长率</w:t>
            </w:r>
          </w:p>
        </w:tc>
        <w:tc>
          <w:tcPr>
            <w:tcW w:w="1117"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方正仿宋_GBK" w:cs="Times New Roman"/>
                <w:b/>
                <w:color w:val="auto"/>
                <w:kern w:val="0"/>
                <w:sz w:val="21"/>
                <w:szCs w:val="21"/>
                <w:highlight w:val="none"/>
                <w:lang w:bidi="ar"/>
              </w:rPr>
            </w:pPr>
            <w:r>
              <w:rPr>
                <w:rFonts w:hint="default" w:ascii="Times New Roman" w:hAnsi="Times New Roman" w:eastAsia="方正仿宋_GBK" w:cs="Times New Roman"/>
                <w:b/>
                <w:color w:val="auto"/>
                <w:kern w:val="0"/>
                <w:sz w:val="21"/>
                <w:szCs w:val="21"/>
                <w:highlight w:val="none"/>
                <w:lang w:bidi="ar"/>
              </w:rPr>
              <w:t>基础负荷</w:t>
            </w:r>
          </w:p>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方正仿宋_GBK" w:cs="Times New Roman"/>
                <w:b/>
                <w:color w:val="auto"/>
                <w:sz w:val="21"/>
                <w:szCs w:val="21"/>
                <w:highlight w:val="none"/>
              </w:rPr>
            </w:pPr>
            <w:r>
              <w:rPr>
                <w:rFonts w:hint="default" w:ascii="Times New Roman" w:hAnsi="Times New Roman" w:eastAsia="方正仿宋_GBK" w:cs="Times New Roman"/>
                <w:b/>
                <w:color w:val="auto"/>
                <w:kern w:val="0"/>
                <w:sz w:val="21"/>
                <w:szCs w:val="21"/>
                <w:highlight w:val="none"/>
                <w:lang w:bidi="ar"/>
              </w:rPr>
              <w:t>增长率</w:t>
            </w:r>
          </w:p>
        </w:tc>
        <w:tc>
          <w:tcPr>
            <w:tcW w:w="1123"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方正仿宋_GBK" w:cs="Times New Roman"/>
                <w:b/>
                <w:color w:val="auto"/>
                <w:kern w:val="0"/>
                <w:sz w:val="21"/>
                <w:szCs w:val="21"/>
                <w:highlight w:val="none"/>
                <w:lang w:bidi="ar"/>
              </w:rPr>
            </w:pPr>
            <w:r>
              <w:rPr>
                <w:rFonts w:hint="default" w:ascii="Times New Roman" w:hAnsi="Times New Roman" w:eastAsia="方正仿宋_GBK" w:cs="Times New Roman"/>
                <w:b/>
                <w:color w:val="auto"/>
                <w:kern w:val="0"/>
                <w:sz w:val="21"/>
                <w:szCs w:val="21"/>
                <w:highlight w:val="none"/>
                <w:lang w:eastAsia="zh-CN" w:bidi="ar"/>
              </w:rPr>
              <w:t>空调</w:t>
            </w:r>
            <w:r>
              <w:rPr>
                <w:rFonts w:hint="default" w:ascii="Times New Roman" w:hAnsi="Times New Roman" w:eastAsia="方正仿宋_GBK" w:cs="Times New Roman"/>
                <w:b/>
                <w:color w:val="auto"/>
                <w:kern w:val="0"/>
                <w:sz w:val="21"/>
                <w:szCs w:val="21"/>
                <w:highlight w:val="none"/>
                <w:lang w:bidi="ar"/>
              </w:rPr>
              <w:t>负荷</w:t>
            </w:r>
          </w:p>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方正仿宋_GBK" w:cs="Times New Roman"/>
                <w:b/>
                <w:color w:val="auto"/>
                <w:sz w:val="21"/>
                <w:szCs w:val="21"/>
                <w:highlight w:val="none"/>
              </w:rPr>
            </w:pPr>
            <w:r>
              <w:rPr>
                <w:rFonts w:hint="default" w:ascii="Times New Roman" w:hAnsi="Times New Roman" w:eastAsia="方正仿宋_GBK" w:cs="Times New Roman"/>
                <w:b/>
                <w:color w:val="auto"/>
                <w:kern w:val="0"/>
                <w:sz w:val="21"/>
                <w:szCs w:val="21"/>
                <w:highlight w:val="none"/>
                <w:lang w:bidi="ar"/>
              </w:rPr>
              <w:t>增长率</w:t>
            </w:r>
          </w:p>
        </w:tc>
      </w:tr>
      <w:tr>
        <w:tblPrEx>
          <w:tblLayout w:type="fixed"/>
          <w:tblCellMar>
            <w:top w:w="0" w:type="dxa"/>
            <w:left w:w="0" w:type="dxa"/>
            <w:bottom w:w="0" w:type="dxa"/>
            <w:right w:w="0" w:type="dxa"/>
          </w:tblCellMar>
        </w:tblPrEx>
        <w:trPr>
          <w:trHeight w:val="300" w:hRule="atLeast"/>
          <w:jc w:val="center"/>
        </w:trPr>
        <w:tc>
          <w:tcPr>
            <w:tcW w:w="1186"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bidi="ar"/>
              </w:rPr>
              <w:t>2018年夏</w:t>
            </w:r>
          </w:p>
        </w:tc>
        <w:tc>
          <w:tcPr>
            <w:tcW w:w="1117" w:type="dxa"/>
            <w:tcBorders>
              <w:top w:val="nil"/>
              <w:left w:val="nil"/>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bidi="ar"/>
              </w:rPr>
              <w:t>8月7日21:10</w:t>
            </w:r>
          </w:p>
        </w:tc>
        <w:tc>
          <w:tcPr>
            <w:tcW w:w="1117" w:type="dxa"/>
            <w:tcBorders>
              <w:top w:val="nil"/>
              <w:left w:val="nil"/>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bidi="ar"/>
              </w:rPr>
              <w:t>368.6</w:t>
            </w:r>
          </w:p>
        </w:tc>
        <w:tc>
          <w:tcPr>
            <w:tcW w:w="1117" w:type="dxa"/>
            <w:tcBorders>
              <w:top w:val="nil"/>
              <w:left w:val="nil"/>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bidi="ar"/>
              </w:rPr>
              <w:t>228.4</w:t>
            </w:r>
          </w:p>
        </w:tc>
        <w:tc>
          <w:tcPr>
            <w:tcW w:w="1117" w:type="dxa"/>
            <w:tcBorders>
              <w:top w:val="nil"/>
              <w:left w:val="nil"/>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bidi="ar"/>
              </w:rPr>
              <w:t>140.2</w:t>
            </w:r>
          </w:p>
        </w:tc>
        <w:tc>
          <w:tcPr>
            <w:tcW w:w="1117" w:type="dxa"/>
            <w:tcBorders>
              <w:top w:val="nil"/>
              <w:left w:val="nil"/>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bidi="ar"/>
              </w:rPr>
              <w:t>/</w:t>
            </w:r>
          </w:p>
        </w:tc>
        <w:tc>
          <w:tcPr>
            <w:tcW w:w="1117" w:type="dxa"/>
            <w:tcBorders>
              <w:top w:val="nil"/>
              <w:left w:val="nil"/>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bidi="ar"/>
              </w:rPr>
              <w:t>/</w:t>
            </w:r>
          </w:p>
        </w:tc>
        <w:tc>
          <w:tcPr>
            <w:tcW w:w="1123" w:type="dxa"/>
            <w:tcBorders>
              <w:top w:val="nil"/>
              <w:left w:val="nil"/>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bidi="ar"/>
              </w:rPr>
              <w:t>/</w:t>
            </w:r>
          </w:p>
        </w:tc>
      </w:tr>
      <w:tr>
        <w:tblPrEx>
          <w:tblLayout w:type="fixed"/>
          <w:tblCellMar>
            <w:top w:w="0" w:type="dxa"/>
            <w:left w:w="0" w:type="dxa"/>
            <w:bottom w:w="0" w:type="dxa"/>
            <w:right w:w="0" w:type="dxa"/>
          </w:tblCellMar>
        </w:tblPrEx>
        <w:trPr>
          <w:trHeight w:val="300" w:hRule="atLeast"/>
          <w:jc w:val="center"/>
        </w:trPr>
        <w:tc>
          <w:tcPr>
            <w:tcW w:w="1186"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bidi="ar"/>
              </w:rPr>
              <w:t>2019年夏</w:t>
            </w:r>
          </w:p>
        </w:tc>
        <w:tc>
          <w:tcPr>
            <w:tcW w:w="1117" w:type="dxa"/>
            <w:tcBorders>
              <w:top w:val="nil"/>
              <w:left w:val="nil"/>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bidi="ar"/>
              </w:rPr>
              <w:t>7月29日21:15</w:t>
            </w:r>
          </w:p>
        </w:tc>
        <w:tc>
          <w:tcPr>
            <w:tcW w:w="1117" w:type="dxa"/>
            <w:tcBorders>
              <w:top w:val="nil"/>
              <w:left w:val="nil"/>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bidi="ar"/>
              </w:rPr>
              <w:t>386.6</w:t>
            </w:r>
          </w:p>
        </w:tc>
        <w:tc>
          <w:tcPr>
            <w:tcW w:w="1117" w:type="dxa"/>
            <w:tcBorders>
              <w:top w:val="nil"/>
              <w:left w:val="nil"/>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bidi="ar"/>
              </w:rPr>
              <w:t>247.5</w:t>
            </w:r>
          </w:p>
        </w:tc>
        <w:tc>
          <w:tcPr>
            <w:tcW w:w="1117" w:type="dxa"/>
            <w:tcBorders>
              <w:top w:val="nil"/>
              <w:left w:val="nil"/>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bidi="ar"/>
              </w:rPr>
              <w:t>139.1</w:t>
            </w:r>
          </w:p>
        </w:tc>
        <w:tc>
          <w:tcPr>
            <w:tcW w:w="1117" w:type="dxa"/>
            <w:tcBorders>
              <w:top w:val="nil"/>
              <w:left w:val="nil"/>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bidi="ar"/>
              </w:rPr>
              <w:t>4.88%</w:t>
            </w:r>
          </w:p>
        </w:tc>
        <w:tc>
          <w:tcPr>
            <w:tcW w:w="1117" w:type="dxa"/>
            <w:tcBorders>
              <w:top w:val="nil"/>
              <w:left w:val="nil"/>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bidi="ar"/>
              </w:rPr>
              <w:t>8.36%</w:t>
            </w:r>
          </w:p>
        </w:tc>
        <w:tc>
          <w:tcPr>
            <w:tcW w:w="1123" w:type="dxa"/>
            <w:tcBorders>
              <w:top w:val="nil"/>
              <w:left w:val="nil"/>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bidi="ar"/>
              </w:rPr>
              <w:t>-0.78%</w:t>
            </w:r>
          </w:p>
        </w:tc>
      </w:tr>
      <w:tr>
        <w:tblPrEx>
          <w:tblLayout w:type="fixed"/>
          <w:tblCellMar>
            <w:top w:w="0" w:type="dxa"/>
            <w:left w:w="0" w:type="dxa"/>
            <w:bottom w:w="0" w:type="dxa"/>
            <w:right w:w="0" w:type="dxa"/>
          </w:tblCellMar>
        </w:tblPrEx>
        <w:trPr>
          <w:trHeight w:val="300" w:hRule="atLeast"/>
          <w:jc w:val="center"/>
        </w:trPr>
        <w:tc>
          <w:tcPr>
            <w:tcW w:w="1186"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bidi="ar"/>
              </w:rPr>
              <w:t>2020年夏</w:t>
            </w:r>
          </w:p>
        </w:tc>
        <w:tc>
          <w:tcPr>
            <w:tcW w:w="1117" w:type="dxa"/>
            <w:tcBorders>
              <w:top w:val="nil"/>
              <w:left w:val="nil"/>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bidi="ar"/>
              </w:rPr>
              <w:t>8月17日21:15</w:t>
            </w:r>
          </w:p>
        </w:tc>
        <w:tc>
          <w:tcPr>
            <w:tcW w:w="1117" w:type="dxa"/>
            <w:tcBorders>
              <w:top w:val="nil"/>
              <w:left w:val="nil"/>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bidi="ar"/>
              </w:rPr>
              <w:t>441.5</w:t>
            </w:r>
          </w:p>
        </w:tc>
        <w:tc>
          <w:tcPr>
            <w:tcW w:w="1117" w:type="dxa"/>
            <w:tcBorders>
              <w:top w:val="nil"/>
              <w:left w:val="nil"/>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bidi="ar"/>
              </w:rPr>
              <w:t>265.5</w:t>
            </w:r>
          </w:p>
        </w:tc>
        <w:tc>
          <w:tcPr>
            <w:tcW w:w="1117" w:type="dxa"/>
            <w:tcBorders>
              <w:top w:val="nil"/>
              <w:left w:val="nil"/>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bidi="ar"/>
              </w:rPr>
              <w:t>176</w:t>
            </w:r>
          </w:p>
        </w:tc>
        <w:tc>
          <w:tcPr>
            <w:tcW w:w="1117" w:type="dxa"/>
            <w:tcBorders>
              <w:top w:val="nil"/>
              <w:left w:val="nil"/>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bidi="ar"/>
              </w:rPr>
              <w:t>14.20%</w:t>
            </w:r>
          </w:p>
        </w:tc>
        <w:tc>
          <w:tcPr>
            <w:tcW w:w="1117" w:type="dxa"/>
            <w:tcBorders>
              <w:top w:val="nil"/>
              <w:left w:val="nil"/>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bidi="ar"/>
              </w:rPr>
              <w:t>7.27%</w:t>
            </w:r>
          </w:p>
        </w:tc>
        <w:tc>
          <w:tcPr>
            <w:tcW w:w="1123" w:type="dxa"/>
            <w:tcBorders>
              <w:top w:val="nil"/>
              <w:left w:val="nil"/>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bidi="ar"/>
              </w:rPr>
              <w:t>26.53%</w:t>
            </w:r>
          </w:p>
        </w:tc>
      </w:tr>
      <w:tr>
        <w:tblPrEx>
          <w:tblLayout w:type="fixed"/>
          <w:tblCellMar>
            <w:top w:w="0" w:type="dxa"/>
            <w:left w:w="0" w:type="dxa"/>
            <w:bottom w:w="0" w:type="dxa"/>
            <w:right w:w="0" w:type="dxa"/>
          </w:tblCellMar>
        </w:tblPrEx>
        <w:trPr>
          <w:trHeight w:val="300" w:hRule="atLeast"/>
          <w:jc w:val="center"/>
        </w:trPr>
        <w:tc>
          <w:tcPr>
            <w:tcW w:w="1186"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bidi="ar"/>
              </w:rPr>
              <w:t>2021年夏</w:t>
            </w:r>
          </w:p>
        </w:tc>
        <w:tc>
          <w:tcPr>
            <w:tcW w:w="1117" w:type="dxa"/>
            <w:tcBorders>
              <w:top w:val="nil"/>
              <w:left w:val="nil"/>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bidi="ar"/>
              </w:rPr>
              <w:t>7月12日21:15</w:t>
            </w:r>
          </w:p>
        </w:tc>
        <w:tc>
          <w:tcPr>
            <w:tcW w:w="1117" w:type="dxa"/>
            <w:tcBorders>
              <w:top w:val="nil"/>
              <w:left w:val="nil"/>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bidi="ar"/>
              </w:rPr>
              <w:t>444</w:t>
            </w:r>
          </w:p>
        </w:tc>
        <w:tc>
          <w:tcPr>
            <w:tcW w:w="1117" w:type="dxa"/>
            <w:tcBorders>
              <w:top w:val="nil"/>
              <w:left w:val="nil"/>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bidi="ar"/>
              </w:rPr>
              <w:t>291.2</w:t>
            </w:r>
          </w:p>
        </w:tc>
        <w:tc>
          <w:tcPr>
            <w:tcW w:w="1117" w:type="dxa"/>
            <w:tcBorders>
              <w:top w:val="nil"/>
              <w:left w:val="nil"/>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bidi="ar"/>
              </w:rPr>
              <w:t>152.8</w:t>
            </w:r>
          </w:p>
        </w:tc>
        <w:tc>
          <w:tcPr>
            <w:tcW w:w="1117" w:type="dxa"/>
            <w:tcBorders>
              <w:top w:val="nil"/>
              <w:left w:val="nil"/>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bidi="ar"/>
              </w:rPr>
              <w:t>0.57%</w:t>
            </w:r>
          </w:p>
        </w:tc>
        <w:tc>
          <w:tcPr>
            <w:tcW w:w="1117" w:type="dxa"/>
            <w:tcBorders>
              <w:top w:val="nil"/>
              <w:left w:val="nil"/>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bidi="ar"/>
              </w:rPr>
              <w:t>9.68%</w:t>
            </w:r>
          </w:p>
        </w:tc>
        <w:tc>
          <w:tcPr>
            <w:tcW w:w="1123" w:type="dxa"/>
            <w:tcBorders>
              <w:top w:val="nil"/>
              <w:left w:val="nil"/>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bidi="ar"/>
              </w:rPr>
              <w:t>-13.18%</w:t>
            </w:r>
          </w:p>
        </w:tc>
      </w:tr>
      <w:tr>
        <w:tblPrEx>
          <w:tblLayout w:type="fixed"/>
          <w:tblCellMar>
            <w:top w:w="0" w:type="dxa"/>
            <w:left w:w="0" w:type="dxa"/>
            <w:bottom w:w="0" w:type="dxa"/>
            <w:right w:w="0" w:type="dxa"/>
          </w:tblCellMar>
        </w:tblPrEx>
        <w:trPr>
          <w:trHeight w:val="585" w:hRule="atLeast"/>
          <w:jc w:val="center"/>
        </w:trPr>
        <w:tc>
          <w:tcPr>
            <w:tcW w:w="1186"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bidi="ar"/>
              </w:rPr>
              <w:t>2022年夏</w:t>
            </w:r>
          </w:p>
        </w:tc>
        <w:tc>
          <w:tcPr>
            <w:tcW w:w="1117"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bidi="ar"/>
              </w:rPr>
              <w:t>8月8日13:05</w:t>
            </w:r>
          </w:p>
        </w:tc>
        <w:tc>
          <w:tcPr>
            <w:tcW w:w="1117"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bidi="ar"/>
              </w:rPr>
              <w:t>503.3</w:t>
            </w:r>
          </w:p>
        </w:tc>
        <w:tc>
          <w:tcPr>
            <w:tcW w:w="1117"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bidi="ar"/>
              </w:rPr>
              <w:t>274</w:t>
            </w:r>
          </w:p>
        </w:tc>
        <w:tc>
          <w:tcPr>
            <w:tcW w:w="1117"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bidi="ar"/>
              </w:rPr>
              <w:t>229.3</w:t>
            </w:r>
          </w:p>
        </w:tc>
        <w:tc>
          <w:tcPr>
            <w:tcW w:w="1117"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bidi="ar"/>
              </w:rPr>
              <w:t>13.36%</w:t>
            </w:r>
          </w:p>
        </w:tc>
        <w:tc>
          <w:tcPr>
            <w:tcW w:w="1117"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bidi="ar"/>
              </w:rPr>
              <w:t>-5.91%</w:t>
            </w:r>
          </w:p>
        </w:tc>
        <w:tc>
          <w:tcPr>
            <w:tcW w:w="1123"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bidi="ar"/>
              </w:rPr>
              <w:t>50.07%</w:t>
            </w:r>
          </w:p>
        </w:tc>
      </w:tr>
      <w:tr>
        <w:tblPrEx>
          <w:tblLayout w:type="fixed"/>
          <w:tblCellMar>
            <w:top w:w="0" w:type="dxa"/>
            <w:left w:w="0" w:type="dxa"/>
            <w:bottom w:w="0" w:type="dxa"/>
            <w:right w:w="0" w:type="dxa"/>
          </w:tblCellMar>
        </w:tblPrEx>
        <w:trPr>
          <w:trHeight w:val="560" w:hRule="atLeast"/>
          <w:jc w:val="center"/>
        </w:trPr>
        <w:tc>
          <w:tcPr>
            <w:tcW w:w="1186"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bidi="ar"/>
              </w:rPr>
              <w:t>202</w:t>
            </w:r>
            <w:r>
              <w:rPr>
                <w:rFonts w:hint="default" w:ascii="Times New Roman" w:hAnsi="Times New Roman" w:eastAsia="方正仿宋_GBK" w:cs="Times New Roman"/>
                <w:color w:val="auto"/>
                <w:kern w:val="0"/>
                <w:sz w:val="21"/>
                <w:szCs w:val="21"/>
                <w:highlight w:val="none"/>
                <w:lang w:val="en-US" w:eastAsia="zh-CN" w:bidi="ar"/>
              </w:rPr>
              <w:t>3</w:t>
            </w:r>
            <w:r>
              <w:rPr>
                <w:rFonts w:hint="default" w:ascii="Times New Roman" w:hAnsi="Times New Roman" w:eastAsia="方正仿宋_GBK" w:cs="Times New Roman"/>
                <w:color w:val="auto"/>
                <w:kern w:val="0"/>
                <w:sz w:val="21"/>
                <w:szCs w:val="21"/>
                <w:highlight w:val="none"/>
                <w:lang w:bidi="ar"/>
              </w:rPr>
              <w:t>年夏</w:t>
            </w:r>
          </w:p>
        </w:tc>
        <w:tc>
          <w:tcPr>
            <w:tcW w:w="1117"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bidi="ar"/>
              </w:rPr>
              <w:t>8月</w:t>
            </w:r>
            <w:r>
              <w:rPr>
                <w:rFonts w:hint="default" w:ascii="Times New Roman" w:hAnsi="Times New Roman" w:eastAsia="方正仿宋_GBK" w:cs="Times New Roman"/>
                <w:color w:val="auto"/>
                <w:kern w:val="0"/>
                <w:sz w:val="21"/>
                <w:szCs w:val="21"/>
                <w:highlight w:val="none"/>
                <w:lang w:val="en-US" w:eastAsia="zh-CN" w:bidi="ar"/>
              </w:rPr>
              <w:t>5</w:t>
            </w:r>
            <w:r>
              <w:rPr>
                <w:rFonts w:hint="default" w:ascii="Times New Roman" w:hAnsi="Times New Roman" w:eastAsia="方正仿宋_GBK" w:cs="Times New Roman"/>
                <w:color w:val="auto"/>
                <w:kern w:val="0"/>
                <w:sz w:val="21"/>
                <w:szCs w:val="21"/>
                <w:highlight w:val="none"/>
                <w:lang w:bidi="ar"/>
              </w:rPr>
              <w:t>日13:</w:t>
            </w:r>
            <w:r>
              <w:rPr>
                <w:rFonts w:hint="default" w:ascii="Times New Roman" w:hAnsi="Times New Roman" w:eastAsia="方正仿宋_GBK" w:cs="Times New Roman"/>
                <w:color w:val="auto"/>
                <w:kern w:val="0"/>
                <w:sz w:val="21"/>
                <w:szCs w:val="21"/>
                <w:highlight w:val="none"/>
                <w:lang w:val="en-US" w:eastAsia="zh-CN" w:bidi="ar"/>
              </w:rPr>
              <w:t>4</w:t>
            </w:r>
            <w:r>
              <w:rPr>
                <w:rFonts w:hint="default" w:ascii="Times New Roman" w:hAnsi="Times New Roman" w:eastAsia="方正仿宋_GBK" w:cs="Times New Roman"/>
                <w:color w:val="auto"/>
                <w:kern w:val="0"/>
                <w:sz w:val="21"/>
                <w:szCs w:val="21"/>
                <w:highlight w:val="none"/>
                <w:lang w:bidi="ar"/>
              </w:rPr>
              <w:t>5</w:t>
            </w:r>
          </w:p>
        </w:tc>
        <w:tc>
          <w:tcPr>
            <w:tcW w:w="1117"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kern w:val="0"/>
                <w:sz w:val="21"/>
                <w:szCs w:val="21"/>
                <w:highlight w:val="none"/>
                <w:lang w:val="en-US" w:eastAsia="zh-CN" w:bidi="ar"/>
              </w:rPr>
              <w:t>536.1</w:t>
            </w:r>
          </w:p>
        </w:tc>
        <w:tc>
          <w:tcPr>
            <w:tcW w:w="1117"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kern w:val="0"/>
                <w:sz w:val="21"/>
                <w:szCs w:val="21"/>
                <w:highlight w:val="none"/>
                <w:lang w:val="en-US" w:eastAsia="zh-CN" w:bidi="ar"/>
              </w:rPr>
              <w:t>341.1</w:t>
            </w:r>
          </w:p>
        </w:tc>
        <w:tc>
          <w:tcPr>
            <w:tcW w:w="1117"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kern w:val="0"/>
                <w:sz w:val="21"/>
                <w:szCs w:val="21"/>
                <w:highlight w:val="none"/>
                <w:lang w:val="en-US" w:eastAsia="zh-CN" w:bidi="ar"/>
              </w:rPr>
              <w:t>195</w:t>
            </w:r>
          </w:p>
        </w:tc>
        <w:tc>
          <w:tcPr>
            <w:tcW w:w="1117"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3.67</w:t>
            </w:r>
            <w:r>
              <w:rPr>
                <w:rFonts w:hint="default" w:ascii="Times New Roman" w:hAnsi="Times New Roman" w:eastAsia="方正仿宋_GBK" w:cs="Times New Roman"/>
                <w:color w:val="auto"/>
                <w:kern w:val="0"/>
                <w:sz w:val="21"/>
                <w:szCs w:val="21"/>
                <w:highlight w:val="none"/>
                <w:lang w:bidi="ar"/>
              </w:rPr>
              <w:t>%</w:t>
            </w:r>
          </w:p>
        </w:tc>
        <w:tc>
          <w:tcPr>
            <w:tcW w:w="1117"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8.42</w:t>
            </w:r>
            <w:r>
              <w:rPr>
                <w:rFonts w:hint="default" w:ascii="Times New Roman" w:hAnsi="Times New Roman" w:eastAsia="方正仿宋_GBK" w:cs="Times New Roman"/>
                <w:color w:val="auto"/>
                <w:kern w:val="0"/>
                <w:sz w:val="21"/>
                <w:szCs w:val="21"/>
                <w:highlight w:val="none"/>
                <w:lang w:bidi="ar"/>
              </w:rPr>
              <w:t>%</w:t>
            </w:r>
          </w:p>
        </w:tc>
        <w:tc>
          <w:tcPr>
            <w:tcW w:w="112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bidi="ar"/>
              </w:rPr>
              <w:t>-</w:t>
            </w:r>
            <w:r>
              <w:rPr>
                <w:rFonts w:hint="default" w:ascii="Times New Roman" w:hAnsi="Times New Roman" w:eastAsia="方正仿宋_GBK" w:cs="Times New Roman"/>
                <w:color w:val="auto"/>
                <w:kern w:val="0"/>
                <w:sz w:val="21"/>
                <w:szCs w:val="21"/>
                <w:highlight w:val="none"/>
                <w:lang w:val="en-US" w:eastAsia="zh-CN" w:bidi="ar"/>
              </w:rPr>
              <w:t>17.43</w:t>
            </w:r>
            <w:r>
              <w:rPr>
                <w:rFonts w:hint="default" w:ascii="Times New Roman" w:hAnsi="Times New Roman" w:eastAsia="方正仿宋_GBK" w:cs="Times New Roman"/>
                <w:color w:val="auto"/>
                <w:kern w:val="0"/>
                <w:sz w:val="21"/>
                <w:szCs w:val="21"/>
                <w:highlight w:val="none"/>
                <w:lang w:bidi="ar"/>
              </w:rPr>
              <w:t>%</w:t>
            </w:r>
          </w:p>
        </w:tc>
      </w:tr>
      <w:tr>
        <w:tblPrEx>
          <w:tblLayout w:type="fixed"/>
          <w:tblCellMar>
            <w:top w:w="0" w:type="dxa"/>
            <w:left w:w="0" w:type="dxa"/>
            <w:bottom w:w="0" w:type="dxa"/>
            <w:right w:w="0" w:type="dxa"/>
          </w:tblCellMar>
        </w:tblPrEx>
        <w:trPr>
          <w:trHeight w:val="320" w:hRule="atLeast"/>
          <w:jc w:val="center"/>
        </w:trPr>
        <w:tc>
          <w:tcPr>
            <w:tcW w:w="1186"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bidi="ar"/>
              </w:rPr>
              <w:t>202</w:t>
            </w:r>
            <w:r>
              <w:rPr>
                <w:rFonts w:hint="default" w:ascii="Times New Roman" w:hAnsi="Times New Roman" w:eastAsia="方正仿宋_GBK" w:cs="Times New Roman"/>
                <w:color w:val="auto"/>
                <w:kern w:val="0"/>
                <w:sz w:val="21"/>
                <w:szCs w:val="21"/>
                <w:highlight w:val="none"/>
                <w:lang w:val="en-US" w:eastAsia="zh-CN" w:bidi="ar"/>
              </w:rPr>
              <w:t>4</w:t>
            </w:r>
            <w:r>
              <w:rPr>
                <w:rFonts w:hint="default" w:ascii="Times New Roman" w:hAnsi="Times New Roman" w:eastAsia="方正仿宋_GBK" w:cs="Times New Roman"/>
                <w:color w:val="auto"/>
                <w:kern w:val="0"/>
                <w:sz w:val="21"/>
                <w:szCs w:val="21"/>
                <w:highlight w:val="none"/>
                <w:lang w:bidi="ar"/>
              </w:rPr>
              <w:t>年夏</w:t>
            </w:r>
          </w:p>
        </w:tc>
        <w:tc>
          <w:tcPr>
            <w:tcW w:w="1117"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kern w:val="0"/>
                <w:sz w:val="21"/>
                <w:szCs w:val="21"/>
                <w:highlight w:val="none"/>
                <w:lang w:bidi="ar"/>
              </w:rPr>
              <w:t>8月</w:t>
            </w:r>
            <w:r>
              <w:rPr>
                <w:rFonts w:hint="default" w:ascii="Times New Roman" w:hAnsi="Times New Roman" w:eastAsia="方正仿宋_GBK" w:cs="Times New Roman"/>
                <w:color w:val="auto"/>
                <w:kern w:val="0"/>
                <w:sz w:val="21"/>
                <w:szCs w:val="21"/>
                <w:highlight w:val="none"/>
                <w:lang w:val="en-US" w:eastAsia="zh-CN" w:bidi="ar"/>
              </w:rPr>
              <w:t>5</w:t>
            </w:r>
            <w:r>
              <w:rPr>
                <w:rFonts w:hint="default" w:ascii="Times New Roman" w:hAnsi="Times New Roman" w:eastAsia="方正仿宋_GBK" w:cs="Times New Roman"/>
                <w:color w:val="auto"/>
                <w:kern w:val="0"/>
                <w:sz w:val="21"/>
                <w:szCs w:val="21"/>
                <w:highlight w:val="none"/>
                <w:lang w:bidi="ar"/>
              </w:rPr>
              <w:t>日1</w:t>
            </w:r>
            <w:r>
              <w:rPr>
                <w:rFonts w:hint="default" w:ascii="Times New Roman" w:hAnsi="Times New Roman" w:eastAsia="方正仿宋_GBK" w:cs="Times New Roman"/>
                <w:color w:val="auto"/>
                <w:kern w:val="0"/>
                <w:sz w:val="21"/>
                <w:szCs w:val="21"/>
                <w:highlight w:val="none"/>
                <w:lang w:val="en-US" w:eastAsia="zh-CN" w:bidi="ar"/>
              </w:rPr>
              <w:t>1</w:t>
            </w:r>
            <w:r>
              <w:rPr>
                <w:rFonts w:hint="default" w:ascii="Times New Roman" w:hAnsi="Times New Roman" w:eastAsia="方正仿宋_GBK" w:cs="Times New Roman"/>
                <w:color w:val="auto"/>
                <w:kern w:val="0"/>
                <w:sz w:val="21"/>
                <w:szCs w:val="21"/>
                <w:highlight w:val="none"/>
                <w:lang w:bidi="ar"/>
              </w:rPr>
              <w:t>:</w:t>
            </w:r>
            <w:r>
              <w:rPr>
                <w:rFonts w:hint="default" w:ascii="Times New Roman" w:hAnsi="Times New Roman" w:eastAsia="方正仿宋_GBK" w:cs="Times New Roman"/>
                <w:color w:val="auto"/>
                <w:kern w:val="0"/>
                <w:sz w:val="21"/>
                <w:szCs w:val="21"/>
                <w:highlight w:val="none"/>
                <w:lang w:val="en-US" w:eastAsia="zh-CN" w:bidi="ar"/>
              </w:rPr>
              <w:t>2</w:t>
            </w:r>
            <w:r>
              <w:rPr>
                <w:rFonts w:hint="default" w:ascii="Times New Roman" w:hAnsi="Times New Roman" w:eastAsia="方正仿宋_GBK" w:cs="Times New Roman"/>
                <w:color w:val="auto"/>
                <w:kern w:val="0"/>
                <w:sz w:val="21"/>
                <w:szCs w:val="21"/>
                <w:highlight w:val="none"/>
                <w:lang w:bidi="ar"/>
              </w:rPr>
              <w:t>5</w:t>
            </w:r>
          </w:p>
        </w:tc>
        <w:tc>
          <w:tcPr>
            <w:tcW w:w="1117"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kern w:val="0"/>
                <w:sz w:val="21"/>
                <w:szCs w:val="21"/>
                <w:highlight w:val="none"/>
                <w:lang w:val="en-US" w:eastAsia="zh-CN" w:bidi="ar"/>
              </w:rPr>
              <w:t>599.7</w:t>
            </w:r>
          </w:p>
        </w:tc>
        <w:tc>
          <w:tcPr>
            <w:tcW w:w="1117"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rPr>
            </w:pPr>
            <w:r>
              <w:rPr>
                <w:rFonts w:hint="default" w:ascii="Times New Roman" w:hAnsi="Times New Roman" w:eastAsia="方正仿宋_GBK" w:cs="Times New Roman"/>
                <w:color w:val="auto"/>
                <w:kern w:val="0"/>
                <w:sz w:val="21"/>
                <w:szCs w:val="21"/>
                <w:highlight w:val="none"/>
                <w:lang w:bidi="ar"/>
              </w:rPr>
              <w:t>3</w:t>
            </w:r>
            <w:r>
              <w:rPr>
                <w:rFonts w:hint="default" w:ascii="Times New Roman" w:hAnsi="Times New Roman" w:eastAsia="方正仿宋_GBK" w:cs="Times New Roman"/>
                <w:color w:val="auto"/>
                <w:kern w:val="0"/>
                <w:sz w:val="21"/>
                <w:szCs w:val="21"/>
                <w:highlight w:val="none"/>
                <w:lang w:val="en-US" w:eastAsia="zh-CN" w:bidi="ar"/>
              </w:rPr>
              <w:t>55</w:t>
            </w:r>
          </w:p>
        </w:tc>
        <w:tc>
          <w:tcPr>
            <w:tcW w:w="1117"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kern w:val="0"/>
                <w:sz w:val="21"/>
                <w:szCs w:val="21"/>
                <w:highlight w:val="none"/>
                <w:lang w:val="en-US" w:eastAsia="zh-CN" w:bidi="ar"/>
              </w:rPr>
              <w:t>245</w:t>
            </w:r>
          </w:p>
        </w:tc>
        <w:tc>
          <w:tcPr>
            <w:tcW w:w="1117"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11.86</w:t>
            </w:r>
            <w:r>
              <w:rPr>
                <w:rFonts w:hint="default" w:ascii="Times New Roman" w:hAnsi="Times New Roman" w:eastAsia="方正仿宋_GBK" w:cs="Times New Roman"/>
                <w:color w:val="auto"/>
                <w:kern w:val="0"/>
                <w:sz w:val="21"/>
                <w:szCs w:val="21"/>
                <w:highlight w:val="none"/>
                <w:lang w:bidi="ar"/>
              </w:rPr>
              <w:t>%</w:t>
            </w:r>
          </w:p>
        </w:tc>
        <w:tc>
          <w:tcPr>
            <w:tcW w:w="1117"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4.07</w:t>
            </w:r>
            <w:r>
              <w:rPr>
                <w:rFonts w:hint="default" w:ascii="Times New Roman" w:hAnsi="Times New Roman" w:eastAsia="方正仿宋_GBK" w:cs="Times New Roman"/>
                <w:color w:val="auto"/>
                <w:kern w:val="0"/>
                <w:sz w:val="21"/>
                <w:szCs w:val="21"/>
                <w:highlight w:val="none"/>
                <w:lang w:bidi="ar"/>
              </w:rPr>
              <w:t>%</w:t>
            </w:r>
          </w:p>
        </w:tc>
        <w:tc>
          <w:tcPr>
            <w:tcW w:w="112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kern w:val="0"/>
                <w:sz w:val="21"/>
                <w:szCs w:val="21"/>
                <w:highlight w:val="none"/>
                <w:lang w:val="en-US" w:eastAsia="zh-CN" w:bidi="ar"/>
              </w:rPr>
              <w:t>25.64</w:t>
            </w:r>
            <w:r>
              <w:rPr>
                <w:rFonts w:hint="default" w:ascii="Times New Roman" w:hAnsi="Times New Roman" w:eastAsia="方正仿宋_GBK" w:cs="Times New Roman"/>
                <w:color w:val="auto"/>
                <w:kern w:val="0"/>
                <w:sz w:val="21"/>
                <w:szCs w:val="21"/>
                <w:highlight w:val="none"/>
                <w:lang w:bidi="ar"/>
              </w:rPr>
              <w:t>%</w:t>
            </w:r>
          </w:p>
        </w:tc>
      </w:tr>
      <w:tr>
        <w:tblPrEx>
          <w:tblLayout w:type="fixed"/>
          <w:tblCellMar>
            <w:top w:w="0" w:type="dxa"/>
            <w:left w:w="0" w:type="dxa"/>
            <w:bottom w:w="0" w:type="dxa"/>
            <w:right w:w="0" w:type="dxa"/>
          </w:tblCellMar>
        </w:tblPrEx>
        <w:trPr>
          <w:trHeight w:val="320" w:hRule="atLeast"/>
          <w:jc w:val="center"/>
        </w:trPr>
        <w:tc>
          <w:tcPr>
            <w:tcW w:w="1186"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kern w:val="2"/>
                <w:sz w:val="21"/>
                <w:szCs w:val="21"/>
                <w:highlight w:val="none"/>
                <w:lang w:val="en-US" w:eastAsia="zh-CN" w:bidi="ar-SA"/>
              </w:rPr>
            </w:pPr>
            <w:r>
              <w:rPr>
                <w:rFonts w:hint="default" w:ascii="Times New Roman" w:hAnsi="Times New Roman" w:eastAsia="方正仿宋_GBK" w:cs="Times New Roman"/>
                <w:color w:val="auto"/>
                <w:kern w:val="0"/>
                <w:sz w:val="21"/>
                <w:szCs w:val="21"/>
                <w:highlight w:val="none"/>
                <w:lang w:bidi="ar"/>
              </w:rPr>
              <w:t>202</w:t>
            </w:r>
            <w:r>
              <w:rPr>
                <w:rFonts w:hint="default" w:ascii="Times New Roman" w:hAnsi="Times New Roman" w:eastAsia="方正仿宋_GBK" w:cs="Times New Roman"/>
                <w:color w:val="auto"/>
                <w:kern w:val="0"/>
                <w:sz w:val="21"/>
                <w:szCs w:val="21"/>
                <w:highlight w:val="none"/>
                <w:lang w:val="en-US" w:eastAsia="zh-CN" w:bidi="ar"/>
              </w:rPr>
              <w:t>5年</w:t>
            </w:r>
            <w:r>
              <w:rPr>
                <w:rFonts w:hint="default" w:ascii="Times New Roman" w:hAnsi="Times New Roman" w:eastAsia="方正仿宋_GBK" w:cs="Times New Roman"/>
                <w:color w:val="auto"/>
                <w:kern w:val="0"/>
                <w:sz w:val="21"/>
                <w:szCs w:val="21"/>
                <w:highlight w:val="none"/>
                <w:lang w:bidi="ar"/>
              </w:rPr>
              <w:t>夏</w:t>
            </w:r>
            <w:r>
              <w:rPr>
                <w:rFonts w:hint="default" w:ascii="Times New Roman" w:hAnsi="Times New Roman" w:eastAsia="方正仿宋_GBK" w:cs="Times New Roman"/>
                <w:color w:val="auto"/>
                <w:kern w:val="0"/>
                <w:sz w:val="21"/>
                <w:szCs w:val="21"/>
                <w:highlight w:val="none"/>
                <w:lang w:eastAsia="zh-CN" w:bidi="ar"/>
              </w:rPr>
              <w:t>（预测）</w:t>
            </w:r>
          </w:p>
        </w:tc>
        <w:tc>
          <w:tcPr>
            <w:tcW w:w="1117"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kern w:val="2"/>
                <w:sz w:val="21"/>
                <w:szCs w:val="21"/>
                <w:highlight w:val="none"/>
                <w:lang w:val="en-US" w:eastAsia="zh-CN" w:bidi="ar-SA"/>
              </w:rPr>
            </w:pPr>
            <w:r>
              <w:rPr>
                <w:rFonts w:hint="default" w:ascii="Times New Roman" w:hAnsi="Times New Roman" w:eastAsia="方正仿宋_GBK" w:cs="Times New Roman"/>
                <w:color w:val="auto"/>
                <w:kern w:val="0"/>
                <w:sz w:val="21"/>
                <w:szCs w:val="21"/>
                <w:highlight w:val="none"/>
                <w:lang w:bidi="ar"/>
              </w:rPr>
              <w:t>8月</w:t>
            </w:r>
          </w:p>
        </w:tc>
        <w:tc>
          <w:tcPr>
            <w:tcW w:w="1117"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kern w:val="2"/>
                <w:sz w:val="21"/>
                <w:szCs w:val="21"/>
                <w:highlight w:val="none"/>
                <w:lang w:val="en-US" w:eastAsia="zh-CN" w:bidi="ar-SA"/>
              </w:rPr>
            </w:pPr>
            <w:r>
              <w:rPr>
                <w:rFonts w:hint="default" w:ascii="Times New Roman" w:hAnsi="Times New Roman" w:eastAsia="方正仿宋_GBK" w:cs="Times New Roman"/>
                <w:color w:val="auto"/>
                <w:kern w:val="0"/>
                <w:sz w:val="21"/>
                <w:szCs w:val="21"/>
                <w:highlight w:val="none"/>
                <w:lang w:val="en-US" w:eastAsia="zh-CN" w:bidi="ar"/>
              </w:rPr>
              <w:t>635</w:t>
            </w:r>
          </w:p>
        </w:tc>
        <w:tc>
          <w:tcPr>
            <w:tcW w:w="1117"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kern w:val="2"/>
                <w:sz w:val="21"/>
                <w:szCs w:val="21"/>
                <w:highlight w:val="none"/>
                <w:lang w:val="en-US" w:eastAsia="zh-CN" w:bidi="ar-SA"/>
              </w:rPr>
            </w:pPr>
            <w:r>
              <w:rPr>
                <w:rFonts w:hint="default" w:ascii="Times New Roman" w:hAnsi="Times New Roman" w:eastAsia="方正仿宋_GBK" w:cs="Times New Roman"/>
                <w:color w:val="auto"/>
                <w:kern w:val="0"/>
                <w:sz w:val="21"/>
                <w:szCs w:val="21"/>
                <w:highlight w:val="none"/>
                <w:lang w:bidi="ar"/>
              </w:rPr>
              <w:t>3</w:t>
            </w:r>
            <w:r>
              <w:rPr>
                <w:rFonts w:hint="default" w:ascii="Times New Roman" w:hAnsi="Times New Roman" w:eastAsia="方正仿宋_GBK" w:cs="Times New Roman"/>
                <w:color w:val="auto"/>
                <w:kern w:val="0"/>
                <w:sz w:val="21"/>
                <w:szCs w:val="21"/>
                <w:highlight w:val="none"/>
                <w:lang w:val="en-US" w:eastAsia="zh-CN" w:bidi="ar"/>
              </w:rPr>
              <w:t>80</w:t>
            </w:r>
          </w:p>
        </w:tc>
        <w:tc>
          <w:tcPr>
            <w:tcW w:w="1117"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kern w:val="2"/>
                <w:sz w:val="21"/>
                <w:szCs w:val="21"/>
                <w:highlight w:val="none"/>
                <w:lang w:val="en-US" w:eastAsia="zh-CN" w:bidi="ar-SA"/>
              </w:rPr>
            </w:pPr>
            <w:r>
              <w:rPr>
                <w:rFonts w:hint="default" w:ascii="Times New Roman" w:hAnsi="Times New Roman" w:eastAsia="方正仿宋_GBK" w:cs="Times New Roman"/>
                <w:color w:val="auto"/>
                <w:kern w:val="0"/>
                <w:sz w:val="21"/>
                <w:szCs w:val="21"/>
                <w:highlight w:val="none"/>
                <w:lang w:val="en-US" w:eastAsia="zh-CN" w:bidi="ar"/>
              </w:rPr>
              <w:t>255</w:t>
            </w:r>
          </w:p>
        </w:tc>
        <w:tc>
          <w:tcPr>
            <w:tcW w:w="1117"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kern w:val="2"/>
                <w:sz w:val="21"/>
                <w:szCs w:val="21"/>
                <w:highlight w:val="none"/>
                <w:lang w:val="en-US" w:eastAsia="zh-CN" w:bidi="ar-SA"/>
              </w:rPr>
            </w:pPr>
            <w:r>
              <w:rPr>
                <w:rFonts w:hint="default" w:ascii="Times New Roman" w:hAnsi="Times New Roman" w:eastAsia="方正仿宋_GBK" w:cs="Times New Roman"/>
                <w:color w:val="auto"/>
                <w:kern w:val="0"/>
                <w:sz w:val="21"/>
                <w:szCs w:val="21"/>
                <w:highlight w:val="none"/>
                <w:lang w:val="en-US" w:eastAsia="zh-CN" w:bidi="ar"/>
              </w:rPr>
              <w:t>5.88</w:t>
            </w:r>
            <w:r>
              <w:rPr>
                <w:rFonts w:hint="default" w:ascii="Times New Roman" w:hAnsi="Times New Roman" w:eastAsia="方正仿宋_GBK" w:cs="Times New Roman"/>
                <w:color w:val="auto"/>
                <w:kern w:val="0"/>
                <w:sz w:val="21"/>
                <w:szCs w:val="21"/>
                <w:highlight w:val="none"/>
                <w:lang w:bidi="ar"/>
              </w:rPr>
              <w:t>%</w:t>
            </w:r>
          </w:p>
        </w:tc>
        <w:tc>
          <w:tcPr>
            <w:tcW w:w="1117"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kern w:val="2"/>
                <w:sz w:val="21"/>
                <w:szCs w:val="21"/>
                <w:highlight w:val="none"/>
                <w:lang w:val="en-US" w:eastAsia="zh-CN" w:bidi="ar-SA"/>
              </w:rPr>
            </w:pPr>
            <w:r>
              <w:rPr>
                <w:rFonts w:hint="default" w:ascii="Times New Roman" w:hAnsi="Times New Roman" w:eastAsia="方正仿宋_GBK" w:cs="Times New Roman"/>
                <w:color w:val="auto"/>
                <w:kern w:val="0"/>
                <w:sz w:val="21"/>
                <w:szCs w:val="21"/>
                <w:highlight w:val="none"/>
                <w:lang w:val="en-US" w:eastAsia="zh-CN" w:bidi="ar"/>
              </w:rPr>
              <w:t>7.04</w:t>
            </w:r>
            <w:r>
              <w:rPr>
                <w:rFonts w:hint="default" w:ascii="Times New Roman" w:hAnsi="Times New Roman" w:eastAsia="方正仿宋_GBK" w:cs="Times New Roman"/>
                <w:color w:val="auto"/>
                <w:kern w:val="0"/>
                <w:sz w:val="21"/>
                <w:szCs w:val="21"/>
                <w:highlight w:val="none"/>
                <w:lang w:bidi="ar"/>
              </w:rPr>
              <w:t>%</w:t>
            </w:r>
          </w:p>
        </w:tc>
        <w:tc>
          <w:tcPr>
            <w:tcW w:w="112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方正仿宋_GBK" w:cs="Times New Roman"/>
                <w:color w:val="auto"/>
                <w:kern w:val="2"/>
                <w:sz w:val="21"/>
                <w:szCs w:val="21"/>
                <w:highlight w:val="none"/>
                <w:lang w:val="en-US" w:eastAsia="zh-CN" w:bidi="ar-SA"/>
              </w:rPr>
            </w:pPr>
            <w:r>
              <w:rPr>
                <w:rFonts w:hint="default" w:ascii="Times New Roman" w:hAnsi="Times New Roman" w:eastAsia="方正仿宋_GBK" w:cs="Times New Roman"/>
                <w:color w:val="auto"/>
                <w:kern w:val="0"/>
                <w:sz w:val="21"/>
                <w:szCs w:val="21"/>
                <w:highlight w:val="none"/>
                <w:lang w:val="en-US" w:eastAsia="zh-CN" w:bidi="ar"/>
              </w:rPr>
              <w:t>4.08</w:t>
            </w:r>
            <w:r>
              <w:rPr>
                <w:rFonts w:hint="default" w:ascii="Times New Roman" w:hAnsi="Times New Roman" w:eastAsia="方正仿宋_GBK" w:cs="Times New Roman"/>
                <w:color w:val="auto"/>
                <w:kern w:val="0"/>
                <w:sz w:val="21"/>
                <w:szCs w:val="21"/>
                <w:highlight w:val="none"/>
                <w:lang w:bidi="ar"/>
              </w:rPr>
              <w:t>%</w:t>
            </w:r>
          </w:p>
        </w:tc>
      </w:tr>
    </w:tbl>
    <w:p>
      <w:pPr>
        <w:ind w:firstLine="640"/>
        <w:rPr>
          <w:rFonts w:hint="default" w:ascii="Times New Roman" w:hAnsi="Times New Roman" w:eastAsia="方正仿宋_GBK" w:cs="Times New Roman"/>
          <w:color w:val="auto"/>
          <w:sz w:val="32"/>
          <w:szCs w:val="32"/>
          <w:highlight w:val="none"/>
          <w:lang w:val="en-US" w:eastAsia="zh-CN"/>
        </w:rPr>
      </w:pPr>
      <w:commentRangeStart w:id="2"/>
      <w:r>
        <w:rPr>
          <w:rFonts w:hint="default" w:ascii="Times New Roman" w:hAnsi="Times New Roman" w:eastAsia="方正仿宋_GBK" w:cs="Times New Roman"/>
          <w:color w:val="auto"/>
          <w:sz w:val="32"/>
          <w:szCs w:val="32"/>
          <w:highlight w:val="none"/>
          <w:lang w:val="en-US" w:eastAsia="zh-CN"/>
        </w:rPr>
        <w:t>综合考虑2025年国内外经济形势、气温的不确定性及尖峰电价等因素影响，预计2025年夏季宿迁全网最大负荷在640万千瓦左右，同比增长40万千瓦，增长率6.32%。建议2025年迎峰度夏项目及措施安排按640万千瓦考虑，冬季最高负荷约600-620万千瓦。</w:t>
      </w:r>
    </w:p>
    <w:p>
      <w:pPr>
        <w:pStyle w:val="5"/>
        <w:pageBreakBefore w:val="0"/>
        <w:kinsoku/>
        <w:wordWrap/>
        <w:overflowPunct/>
        <w:topLinePunct w:val="0"/>
        <w:autoSpaceDE/>
        <w:autoSpaceDN/>
        <w:bidi w:val="0"/>
        <w:adjustRightInd/>
        <w:snapToGrid/>
        <w:spacing w:line="500" w:lineRule="exact"/>
        <w:ind w:firstLine="640"/>
        <w:textAlignment w:val="auto"/>
        <w:rPr>
          <w:rFonts w:hint="default"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lang w:val="en-US" w:eastAsia="zh-CN"/>
        </w:rPr>
        <w:t>6</w:t>
      </w:r>
      <w:r>
        <w:rPr>
          <w:rFonts w:hint="default" w:ascii="Times New Roman" w:hAnsi="Times New Roman" w:eastAsia="方正仿宋_GBK" w:cs="Times New Roman"/>
          <w:color w:val="auto"/>
          <w:sz w:val="32"/>
          <w:szCs w:val="32"/>
          <w:highlight w:val="none"/>
        </w:rPr>
        <w:t>.202</w:t>
      </w:r>
      <w:r>
        <w:rPr>
          <w:rFonts w:hint="default" w:ascii="Times New Roman" w:hAnsi="Times New Roman" w:eastAsia="方正仿宋_GBK" w:cs="Times New Roman"/>
          <w:color w:val="auto"/>
          <w:sz w:val="32"/>
          <w:szCs w:val="32"/>
          <w:highlight w:val="none"/>
          <w:lang w:val="en-US" w:eastAsia="zh-CN"/>
        </w:rPr>
        <w:t>5</w:t>
      </w:r>
      <w:r>
        <w:rPr>
          <w:rFonts w:hint="default" w:ascii="Times New Roman" w:hAnsi="Times New Roman" w:eastAsia="方正仿宋_GBK" w:cs="Times New Roman"/>
          <w:color w:val="auto"/>
          <w:sz w:val="32"/>
          <w:szCs w:val="32"/>
          <w:highlight w:val="none"/>
        </w:rPr>
        <w:t>年分区平衡情况</w:t>
      </w:r>
      <w:bookmarkEnd w:id="83"/>
    </w:p>
    <w:bookmarkEnd w:id="65"/>
    <w:bookmarkEnd w:id="66"/>
    <w:bookmarkEnd w:id="67"/>
    <w:bookmarkEnd w:id="68"/>
    <w:bookmarkEnd w:id="69"/>
    <w:bookmarkEnd w:id="70"/>
    <w:p>
      <w:pPr>
        <w:ind w:firstLine="64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徐宿区内主要有徐塘电厂、国电宿迁电厂、中能硅业热电，500千伏变电站6座，分区最大统调出力约275万千瓦，分区内500千伏主变最大受电能力700万千瓦，最大供电能力约为975万千瓦。预计统调最大负荷约906万千瓦，供电裕度69万千瓦。</w:t>
      </w:r>
      <w:commentRangeEnd w:id="2"/>
      <w:r>
        <w:rPr>
          <w:rFonts w:hint="default" w:ascii="Times New Roman" w:hAnsi="Times New Roman" w:eastAsia="方正仿宋_GBK" w:cs="Times New Roman"/>
          <w:color w:val="auto"/>
          <w:sz w:val="32"/>
          <w:szCs w:val="32"/>
          <w:highlight w:val="none"/>
          <w:lang w:val="en-US" w:eastAsia="zh-CN"/>
        </w:rPr>
        <w:commentReference w:id="2"/>
      </w:r>
    </w:p>
    <w:p>
      <w:pPr>
        <w:ind w:firstLine="64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若考虑分区内容量最大的一台机组（国电宿迁单台60万千瓦）跳闸，分区供电裕度9万千瓦。</w:t>
      </w:r>
    </w:p>
    <w:p>
      <w:pPr>
        <w:ind w:firstLine="64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当500千伏主变（双泗）N-1后剩余500千伏主变允许满载，则分区受电能力为620万千瓦，分区电力缺口11万千瓦。考虑将鑫能变（22万千瓦）调至徐州西分区供电，满足供电需求。</w:t>
      </w:r>
    </w:p>
    <w:p>
      <w:pPr>
        <w:ind w:firstLine="64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当夏高负荷下1台500千伏主变检修，则分区受电能力为600万千瓦，存在电力缺口31万千瓦。考虑将鑫能变（22万千瓦）调至徐州西分区供电，九墩变（10万千瓦）调至连云港分区供电，分区供电紧平衡。</w:t>
      </w:r>
    </w:p>
    <w:p>
      <w:pPr>
        <w:ind w:firstLine="640"/>
        <w:rPr>
          <w:rFonts w:hint="default"/>
          <w:highlight w:val="none"/>
          <w:lang w:eastAsia="zh-CN"/>
        </w:rPr>
      </w:pPr>
      <w:r>
        <w:rPr>
          <w:rFonts w:hint="default" w:ascii="Times New Roman" w:hAnsi="Times New Roman" w:eastAsia="方正仿宋_GBK" w:cs="Times New Roman"/>
          <w:color w:val="auto"/>
          <w:sz w:val="32"/>
          <w:szCs w:val="32"/>
          <w:highlight w:val="none"/>
          <w:lang w:val="en-US" w:eastAsia="zh-CN"/>
        </w:rPr>
        <w:t>若考虑90%夏高负荷下1台500千伏主变检修，分区供电裕度59万千瓦。</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黑体" w:cs="Times New Roman"/>
          <w:color w:val="auto"/>
          <w:kern w:val="0"/>
          <w:sz w:val="21"/>
          <w:szCs w:val="21"/>
          <w:highlight w:val="none"/>
        </w:rPr>
      </w:pPr>
      <w:r>
        <w:rPr>
          <w:rFonts w:hint="default" w:ascii="Times New Roman" w:hAnsi="Times New Roman" w:eastAsia="黑体" w:cs="Times New Roman"/>
          <w:color w:val="auto"/>
          <w:kern w:val="0"/>
          <w:sz w:val="21"/>
          <w:szCs w:val="21"/>
          <w:highlight w:val="none"/>
        </w:rPr>
        <w:t>表</w:t>
      </w:r>
      <w:r>
        <w:rPr>
          <w:rFonts w:hint="eastAsia" w:ascii="Times New Roman" w:hAnsi="Times New Roman" w:eastAsia="黑体" w:cs="Times New Roman"/>
          <w:color w:val="auto"/>
          <w:kern w:val="0"/>
          <w:sz w:val="21"/>
          <w:szCs w:val="21"/>
          <w:highlight w:val="none"/>
          <w:lang w:val="en-US" w:eastAsia="zh-CN"/>
        </w:rPr>
        <w:t>3</w:t>
      </w:r>
      <w:r>
        <w:rPr>
          <w:rFonts w:hint="default" w:ascii="Times New Roman" w:hAnsi="Times New Roman" w:eastAsia="黑体" w:cs="Times New Roman"/>
          <w:color w:val="auto"/>
          <w:kern w:val="0"/>
          <w:sz w:val="21"/>
          <w:szCs w:val="21"/>
          <w:highlight w:val="none"/>
        </w:rPr>
        <w:t>：202</w:t>
      </w:r>
      <w:r>
        <w:rPr>
          <w:rFonts w:hint="default" w:ascii="Times New Roman" w:hAnsi="Times New Roman" w:eastAsia="黑体" w:cs="Times New Roman"/>
          <w:color w:val="auto"/>
          <w:kern w:val="0"/>
          <w:sz w:val="21"/>
          <w:szCs w:val="21"/>
          <w:highlight w:val="none"/>
          <w:lang w:val="en-US" w:eastAsia="zh-CN"/>
        </w:rPr>
        <w:t>5</w:t>
      </w:r>
      <w:r>
        <w:rPr>
          <w:rFonts w:hint="default" w:ascii="Times New Roman" w:hAnsi="Times New Roman" w:eastAsia="黑体" w:cs="Times New Roman"/>
          <w:color w:val="auto"/>
          <w:kern w:val="0"/>
          <w:sz w:val="21"/>
          <w:szCs w:val="21"/>
          <w:highlight w:val="none"/>
        </w:rPr>
        <w:t>年夏徐宿分区电力平衡情况</w:t>
      </w:r>
    </w:p>
    <w:tbl>
      <w:tblPr>
        <w:tblStyle w:val="13"/>
        <w:tblW w:w="92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1"/>
        <w:gridCol w:w="3686"/>
        <w:gridCol w:w="3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tblHeader/>
          <w:jc w:val="center"/>
        </w:trPr>
        <w:tc>
          <w:tcPr>
            <w:tcW w:w="6097" w:type="dxa"/>
            <w:gridSpan w:val="2"/>
            <w:vAlign w:val="center"/>
          </w:tcPr>
          <w:p>
            <w:pPr>
              <w:widowControl/>
              <w:spacing w:line="288" w:lineRule="auto"/>
              <w:jc w:val="center"/>
              <w:textAlignment w:val="baseline"/>
              <w:rPr>
                <w:rFonts w:hint="default" w:ascii="Times New Roman" w:hAnsi="Times New Roman" w:eastAsia="方正仿宋_GBK" w:cs="Times New Roman"/>
                <w:b/>
                <w:bCs/>
                <w:color w:val="auto"/>
                <w:kern w:val="0"/>
                <w:sz w:val="21"/>
                <w:szCs w:val="21"/>
                <w:highlight w:val="none"/>
                <w:lang w:bidi="ar"/>
              </w:rPr>
            </w:pPr>
            <w:r>
              <w:rPr>
                <w:rFonts w:hint="default" w:ascii="Times New Roman" w:hAnsi="Times New Roman" w:eastAsia="方正仿宋_GBK" w:cs="Times New Roman"/>
                <w:b/>
                <w:bCs/>
                <w:color w:val="auto"/>
                <w:kern w:val="0"/>
                <w:sz w:val="21"/>
                <w:szCs w:val="21"/>
                <w:highlight w:val="none"/>
                <w:lang w:bidi="ar"/>
              </w:rPr>
              <w:t>徐宿分区</w:t>
            </w:r>
          </w:p>
        </w:tc>
        <w:tc>
          <w:tcPr>
            <w:tcW w:w="3190" w:type="dxa"/>
            <w:vAlign w:val="center"/>
          </w:tcPr>
          <w:p>
            <w:pPr>
              <w:widowControl/>
              <w:spacing w:line="288" w:lineRule="auto"/>
              <w:jc w:val="center"/>
              <w:textAlignment w:val="baseline"/>
              <w:rPr>
                <w:rFonts w:hint="default" w:ascii="Times New Roman" w:hAnsi="Times New Roman" w:eastAsia="方正仿宋_GBK" w:cs="Times New Roman"/>
                <w:b/>
                <w:bCs/>
                <w:color w:val="auto"/>
                <w:kern w:val="0"/>
                <w:sz w:val="21"/>
                <w:szCs w:val="21"/>
                <w:highlight w:val="none"/>
                <w:lang w:bidi="ar"/>
              </w:rPr>
            </w:pPr>
            <w:r>
              <w:rPr>
                <w:rFonts w:hint="default" w:ascii="Times New Roman" w:hAnsi="Times New Roman" w:eastAsia="方正仿宋_GBK" w:cs="Times New Roman"/>
                <w:b/>
                <w:bCs/>
                <w:color w:val="auto"/>
                <w:kern w:val="0"/>
                <w:sz w:val="21"/>
                <w:szCs w:val="21"/>
                <w:highlight w:val="none"/>
                <w:lang w:bidi="ar"/>
              </w:rPr>
              <w:t>数值（万千瓦）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jc w:val="center"/>
        </w:trPr>
        <w:tc>
          <w:tcPr>
            <w:tcW w:w="2411" w:type="dxa"/>
            <w:vMerge w:val="restart"/>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bidi="ar"/>
              </w:rPr>
              <w:t>机组最大可调出力预计</w:t>
            </w:r>
          </w:p>
        </w:tc>
        <w:tc>
          <w:tcPr>
            <w:tcW w:w="3686" w:type="dxa"/>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bidi="ar"/>
              </w:rPr>
              <w:t>徐塘电厂</w:t>
            </w:r>
          </w:p>
        </w:tc>
        <w:tc>
          <w:tcPr>
            <w:tcW w:w="3190" w:type="dxa"/>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bidi="ar"/>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jc w:val="center"/>
        </w:trPr>
        <w:tc>
          <w:tcPr>
            <w:tcW w:w="2411" w:type="dxa"/>
            <w:vMerge w:val="continue"/>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bidi="ar"/>
              </w:rPr>
            </w:pPr>
          </w:p>
        </w:tc>
        <w:tc>
          <w:tcPr>
            <w:tcW w:w="3686" w:type="dxa"/>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bidi="ar"/>
              </w:rPr>
              <w:t>国电宿迁</w:t>
            </w:r>
          </w:p>
        </w:tc>
        <w:tc>
          <w:tcPr>
            <w:tcW w:w="3190" w:type="dxa"/>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bidi="ar"/>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11" w:type="dxa"/>
            <w:vMerge w:val="continue"/>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bidi="ar"/>
              </w:rPr>
            </w:pPr>
          </w:p>
        </w:tc>
        <w:tc>
          <w:tcPr>
            <w:tcW w:w="3686" w:type="dxa"/>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bidi="ar"/>
              </w:rPr>
              <w:t>中能硅业热电</w:t>
            </w:r>
          </w:p>
        </w:tc>
        <w:tc>
          <w:tcPr>
            <w:tcW w:w="3190" w:type="dxa"/>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bidi="ar"/>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2411" w:type="dxa"/>
            <w:vMerge w:val="continue"/>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bidi="ar"/>
              </w:rPr>
            </w:pPr>
          </w:p>
        </w:tc>
        <w:tc>
          <w:tcPr>
            <w:tcW w:w="3686" w:type="dxa"/>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bidi="ar"/>
              </w:rPr>
              <w:t>总 加</w:t>
            </w:r>
          </w:p>
        </w:tc>
        <w:tc>
          <w:tcPr>
            <w:tcW w:w="3190" w:type="dxa"/>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bidi="ar"/>
              </w:rPr>
              <w:t>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2411" w:type="dxa"/>
            <w:vMerge w:val="restart"/>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bidi="ar"/>
              </w:rPr>
              <w:t>实际最大受电能力预计</w:t>
            </w:r>
          </w:p>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bidi="ar"/>
              </w:rPr>
              <w:t xml:space="preserve"> </w:t>
            </w:r>
          </w:p>
        </w:tc>
        <w:tc>
          <w:tcPr>
            <w:tcW w:w="3686" w:type="dxa"/>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bidi="ar"/>
              </w:rPr>
              <w:t>岱 山（稳定限额，下同）</w:t>
            </w:r>
          </w:p>
        </w:tc>
        <w:tc>
          <w:tcPr>
            <w:tcW w:w="3190" w:type="dxa"/>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bidi="ar"/>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5" w:hRule="atLeast"/>
          <w:jc w:val="center"/>
        </w:trPr>
        <w:tc>
          <w:tcPr>
            <w:tcW w:w="2411" w:type="dxa"/>
            <w:vMerge w:val="continue"/>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bidi="ar"/>
              </w:rPr>
            </w:pPr>
          </w:p>
        </w:tc>
        <w:tc>
          <w:tcPr>
            <w:tcW w:w="3686" w:type="dxa"/>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bidi="ar"/>
              </w:rPr>
              <w:t>双 泗</w:t>
            </w:r>
          </w:p>
        </w:tc>
        <w:tc>
          <w:tcPr>
            <w:tcW w:w="3190" w:type="dxa"/>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bidi="ar"/>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2411" w:type="dxa"/>
            <w:vMerge w:val="continue"/>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bidi="ar"/>
              </w:rPr>
            </w:pPr>
          </w:p>
        </w:tc>
        <w:tc>
          <w:tcPr>
            <w:tcW w:w="3686" w:type="dxa"/>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bidi="ar"/>
              </w:rPr>
              <w:t>沭 阳</w:t>
            </w:r>
          </w:p>
        </w:tc>
        <w:tc>
          <w:tcPr>
            <w:tcW w:w="3190" w:type="dxa"/>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val="en-US" w:bidi="ar"/>
              </w:rPr>
            </w:pPr>
            <w:r>
              <w:rPr>
                <w:rFonts w:hint="default" w:ascii="Times New Roman" w:hAnsi="Times New Roman" w:eastAsia="方正仿宋_GBK" w:cs="Times New Roman"/>
                <w:color w:val="auto"/>
                <w:kern w:val="0"/>
                <w:sz w:val="21"/>
                <w:szCs w:val="21"/>
                <w:highlight w:val="none"/>
                <w:lang w:val="en-US" w:eastAsia="zh-CN" w:bidi="ar"/>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2411" w:type="dxa"/>
            <w:vMerge w:val="continue"/>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bidi="ar"/>
              </w:rPr>
            </w:pPr>
          </w:p>
        </w:tc>
        <w:tc>
          <w:tcPr>
            <w:tcW w:w="3686" w:type="dxa"/>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bidi="ar"/>
              </w:rPr>
              <w:t>姚 湖</w:t>
            </w:r>
          </w:p>
        </w:tc>
        <w:tc>
          <w:tcPr>
            <w:tcW w:w="3190" w:type="dxa"/>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bidi="ar"/>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jc w:val="center"/>
        </w:trPr>
        <w:tc>
          <w:tcPr>
            <w:tcW w:w="2411" w:type="dxa"/>
            <w:vMerge w:val="continue"/>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bidi="ar"/>
              </w:rPr>
            </w:pPr>
          </w:p>
        </w:tc>
        <w:tc>
          <w:tcPr>
            <w:tcW w:w="3686" w:type="dxa"/>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bidi="ar"/>
              </w:rPr>
              <w:t>钟 吾</w:t>
            </w:r>
          </w:p>
        </w:tc>
        <w:tc>
          <w:tcPr>
            <w:tcW w:w="3190" w:type="dxa"/>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bidi="ar"/>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2411" w:type="dxa"/>
            <w:vMerge w:val="continue"/>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bidi="ar"/>
              </w:rPr>
            </w:pPr>
          </w:p>
        </w:tc>
        <w:tc>
          <w:tcPr>
            <w:tcW w:w="3686" w:type="dxa"/>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bidi="ar"/>
              </w:rPr>
              <w:t>宿 豫</w:t>
            </w:r>
          </w:p>
        </w:tc>
        <w:tc>
          <w:tcPr>
            <w:tcW w:w="3190" w:type="dxa"/>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bidi="ar"/>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2411" w:type="dxa"/>
            <w:vMerge w:val="continue"/>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bidi="ar"/>
              </w:rPr>
            </w:pPr>
          </w:p>
        </w:tc>
        <w:tc>
          <w:tcPr>
            <w:tcW w:w="3686" w:type="dxa"/>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bidi="ar"/>
              </w:rPr>
              <w:t>总 加</w:t>
            </w:r>
          </w:p>
        </w:tc>
        <w:tc>
          <w:tcPr>
            <w:tcW w:w="3190" w:type="dxa"/>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6097" w:type="dxa"/>
            <w:gridSpan w:val="2"/>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bidi="ar"/>
              </w:rPr>
              <w:t>最大供电能力预计</w:t>
            </w:r>
          </w:p>
        </w:tc>
        <w:tc>
          <w:tcPr>
            <w:tcW w:w="3190" w:type="dxa"/>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975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6097" w:type="dxa"/>
            <w:gridSpan w:val="2"/>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eastAsia="zh-CN" w:bidi="ar"/>
              </w:rPr>
            </w:pPr>
            <w:r>
              <w:rPr>
                <w:rFonts w:hint="default" w:ascii="Times New Roman" w:hAnsi="Times New Roman" w:eastAsia="方正仿宋_GBK" w:cs="Times New Roman"/>
                <w:color w:val="auto"/>
                <w:kern w:val="0"/>
                <w:sz w:val="21"/>
                <w:szCs w:val="21"/>
                <w:highlight w:val="none"/>
                <w:lang w:bidi="ar"/>
              </w:rPr>
              <w:t>最高负荷</w:t>
            </w:r>
            <w:r>
              <w:rPr>
                <w:rFonts w:hint="default" w:ascii="Times New Roman" w:hAnsi="Times New Roman" w:eastAsia="方正仿宋_GBK" w:cs="Times New Roman"/>
                <w:color w:val="auto"/>
                <w:kern w:val="0"/>
                <w:sz w:val="21"/>
                <w:szCs w:val="21"/>
                <w:highlight w:val="none"/>
                <w:lang w:eastAsia="zh-CN" w:bidi="ar"/>
              </w:rPr>
              <w:t>预计</w:t>
            </w:r>
          </w:p>
        </w:tc>
        <w:tc>
          <w:tcPr>
            <w:tcW w:w="3190" w:type="dxa"/>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val="en-US" w:eastAsia="zh-CN" w:bidi="ar"/>
              </w:rPr>
              <w:t>906</w:t>
            </w:r>
            <w:r>
              <w:rPr>
                <w:rFonts w:hint="default" w:ascii="Times New Roman" w:hAnsi="Times New Roman" w:eastAsia="方正仿宋_GBK" w:cs="Times New Roman"/>
                <w:color w:val="auto"/>
                <w:kern w:val="0"/>
                <w:sz w:val="21"/>
                <w:szCs w:val="21"/>
                <w:highlight w:val="none"/>
                <w:lang w:bidi="ar"/>
              </w:rPr>
              <w:t>（5</w:t>
            </w:r>
            <w:r>
              <w:rPr>
                <w:rFonts w:hint="default" w:ascii="Times New Roman" w:hAnsi="Times New Roman" w:eastAsia="方正仿宋_GBK" w:cs="Times New Roman"/>
                <w:color w:val="auto"/>
                <w:kern w:val="0"/>
                <w:sz w:val="21"/>
                <w:szCs w:val="21"/>
                <w:highlight w:val="none"/>
                <w:lang w:val="en-US" w:eastAsia="zh-CN" w:bidi="ar"/>
              </w:rPr>
              <w:t>85</w:t>
            </w:r>
            <w:r>
              <w:rPr>
                <w:rFonts w:hint="default" w:ascii="Times New Roman" w:hAnsi="Times New Roman" w:eastAsia="方正仿宋_GBK" w:cs="Times New Roman"/>
                <w:color w:val="auto"/>
                <w:kern w:val="0"/>
                <w:sz w:val="21"/>
                <w:szCs w:val="21"/>
                <w:highlight w:val="none"/>
                <w:lang w:bidi="ar"/>
              </w:rPr>
              <w:t>+3</w:t>
            </w:r>
            <w:r>
              <w:rPr>
                <w:rFonts w:hint="default" w:ascii="Times New Roman" w:hAnsi="Times New Roman" w:eastAsia="方正仿宋_GBK" w:cs="Times New Roman"/>
                <w:color w:val="auto"/>
                <w:kern w:val="0"/>
                <w:sz w:val="21"/>
                <w:szCs w:val="21"/>
                <w:highlight w:val="none"/>
                <w:lang w:val="en-US" w:eastAsia="zh-CN" w:bidi="ar"/>
              </w:rPr>
              <w:t>21</w:t>
            </w:r>
            <w:r>
              <w:rPr>
                <w:rFonts w:hint="default" w:ascii="Times New Roman" w:hAnsi="Times New Roman" w:eastAsia="方正仿宋_GBK" w:cs="Times New Roman"/>
                <w:color w:val="auto"/>
                <w:kern w:val="0"/>
                <w:sz w:val="21"/>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6097" w:type="dxa"/>
            <w:gridSpan w:val="2"/>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正常方式电力缺口</w:t>
            </w:r>
          </w:p>
        </w:tc>
        <w:tc>
          <w:tcPr>
            <w:tcW w:w="3190" w:type="dxa"/>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6097" w:type="dxa"/>
            <w:gridSpan w:val="2"/>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主变N-1后电力缺口</w:t>
            </w:r>
          </w:p>
        </w:tc>
        <w:tc>
          <w:tcPr>
            <w:tcW w:w="3190" w:type="dxa"/>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6097" w:type="dxa"/>
            <w:gridSpan w:val="2"/>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夏高负荷检修方式电力缺口</w:t>
            </w:r>
          </w:p>
        </w:tc>
        <w:tc>
          <w:tcPr>
            <w:tcW w:w="3190" w:type="dxa"/>
            <w:vAlign w:val="center"/>
          </w:tcPr>
          <w:p>
            <w:pPr>
              <w:widowControl/>
              <w:spacing w:line="288" w:lineRule="auto"/>
              <w:jc w:val="center"/>
              <w:textAlignment w:val="center"/>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0</w:t>
            </w:r>
          </w:p>
        </w:tc>
      </w:tr>
    </w:tbl>
    <w:p>
      <w:pPr>
        <w:pStyle w:val="2"/>
        <w:spacing w:line="288" w:lineRule="auto"/>
        <w:ind w:firstLine="0" w:firstLineChars="0"/>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（“+”表示缺口，“-”表示裕度）</w:t>
      </w:r>
    </w:p>
    <w:p>
      <w:pPr>
        <w:pStyle w:val="2"/>
        <w:rPr>
          <w:rFonts w:hint="default" w:ascii="Times New Roman" w:hAnsi="Times New Roman" w:eastAsia="方正仿宋_GBK" w:cs="Times New Roman"/>
          <w:color w:val="auto"/>
          <w:sz w:val="32"/>
          <w:szCs w:val="32"/>
          <w:highlight w:val="none"/>
          <w:lang w:val="en-US" w:eastAsia="zh-CN"/>
        </w:rPr>
      </w:pPr>
    </w:p>
    <w:p>
      <w:pPr>
        <w:rPr>
          <w:rFonts w:hint="default"/>
          <w:highlight w:val="none"/>
        </w:rPr>
      </w:pPr>
    </w:p>
    <w:p>
      <w:pPr>
        <w:rPr>
          <w:rFonts w:hint="default" w:ascii="Times New Roman" w:hAnsi="Times New Roman" w:eastAsia="方正黑体_GBK" w:cs="Times New Roman"/>
          <w:b w:val="0"/>
          <w:bCs w:val="0"/>
          <w:color w:val="auto"/>
          <w:kern w:val="2"/>
          <w:sz w:val="32"/>
          <w:szCs w:val="32"/>
          <w:highlight w:val="none"/>
        </w:rPr>
      </w:pPr>
      <w:r>
        <w:rPr>
          <w:rFonts w:hint="default" w:ascii="Times New Roman" w:hAnsi="Times New Roman" w:eastAsia="方正黑体_GBK" w:cs="Times New Roman"/>
          <w:b w:val="0"/>
          <w:bCs w:val="0"/>
          <w:color w:val="auto"/>
          <w:kern w:val="2"/>
          <w:sz w:val="32"/>
          <w:szCs w:val="32"/>
          <w:highlight w:val="none"/>
        </w:rPr>
        <w:br w:type="page"/>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textAlignment w:val="auto"/>
        <w:rPr>
          <w:rFonts w:hint="default" w:ascii="Times New Roman" w:hAnsi="Times New Roman" w:eastAsia="方正黑体_GBK" w:cs="Times New Roman"/>
          <w:b w:val="0"/>
          <w:bCs w:val="0"/>
          <w:color w:val="auto"/>
          <w:kern w:val="2"/>
          <w:sz w:val="32"/>
          <w:szCs w:val="32"/>
          <w:highlight w:val="none"/>
        </w:rPr>
      </w:pPr>
      <w:r>
        <w:rPr>
          <w:rFonts w:hint="default" w:ascii="Times New Roman" w:hAnsi="Times New Roman" w:eastAsia="方正黑体_GBK" w:cs="Times New Roman"/>
          <w:b w:val="0"/>
          <w:bCs w:val="0"/>
          <w:color w:val="auto"/>
          <w:kern w:val="2"/>
          <w:sz w:val="32"/>
          <w:szCs w:val="32"/>
          <w:highlight w:val="none"/>
        </w:rPr>
        <w:t xml:space="preserve">第四章 </w:t>
      </w:r>
      <w:r>
        <w:rPr>
          <w:rFonts w:hint="default" w:ascii="Times New Roman" w:hAnsi="Times New Roman" w:eastAsia="方正黑体_GBK" w:cs="Times New Roman"/>
          <w:b w:val="0"/>
          <w:bCs w:val="0"/>
          <w:color w:val="auto"/>
          <w:kern w:val="2"/>
          <w:sz w:val="32"/>
          <w:szCs w:val="32"/>
          <w:highlight w:val="none"/>
          <w:lang w:val="en-US" w:eastAsia="zh-CN"/>
        </w:rPr>
        <w:t xml:space="preserve"> </w:t>
      </w:r>
      <w:r>
        <w:rPr>
          <w:rFonts w:hint="default" w:ascii="Times New Roman" w:hAnsi="Times New Roman" w:eastAsia="方正黑体_GBK" w:cs="Times New Roman"/>
          <w:b w:val="0"/>
          <w:bCs w:val="0"/>
          <w:color w:val="auto"/>
          <w:kern w:val="2"/>
          <w:sz w:val="32"/>
          <w:szCs w:val="32"/>
          <w:highlight w:val="none"/>
        </w:rPr>
        <w:t>负荷管理预案</w:t>
      </w:r>
    </w:p>
    <w:p>
      <w:pPr>
        <w:pStyle w:val="5"/>
        <w:pageBreakBefore w:val="0"/>
        <w:widowControl w:val="0"/>
        <w:kinsoku/>
        <w:wordWrap/>
        <w:overflowPunct/>
        <w:topLinePunct w:val="0"/>
        <w:autoSpaceDE/>
        <w:autoSpaceDN/>
        <w:bidi w:val="0"/>
        <w:adjustRightInd/>
        <w:snapToGrid/>
        <w:ind w:firstLine="640"/>
        <w:textAlignment w:val="auto"/>
        <w:rPr>
          <w:rFonts w:hint="default" w:ascii="Times New Roman" w:hAnsi="Times New Roman" w:eastAsia="方正仿宋_GBK" w:cs="Times New Roman"/>
          <w:color w:val="auto"/>
          <w:sz w:val="32"/>
          <w:szCs w:val="32"/>
          <w:highlight w:val="none"/>
        </w:rPr>
      </w:pPr>
      <w:bookmarkStart w:id="84" w:name="_Toc12874"/>
      <w:bookmarkStart w:id="85" w:name="_Toc21266"/>
    </w:p>
    <w:p>
      <w:pPr>
        <w:pStyle w:val="5"/>
        <w:pageBreakBefore w:val="0"/>
        <w:widowControl w:val="0"/>
        <w:kinsoku/>
        <w:wordWrap/>
        <w:overflowPunct/>
        <w:topLinePunct w:val="0"/>
        <w:autoSpaceDE/>
        <w:autoSpaceDN/>
        <w:bidi w:val="0"/>
        <w:adjustRightInd/>
        <w:snapToGrid/>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4.1 方案总述</w:t>
      </w:r>
      <w:bookmarkEnd w:id="84"/>
      <w:bookmarkEnd w:id="85"/>
    </w:p>
    <w:p>
      <w:pPr>
        <w:pageBreakBefore w:val="0"/>
        <w:widowControl w:val="0"/>
        <w:kinsoku/>
        <w:wordWrap/>
        <w:overflowPunct/>
        <w:topLinePunct w:val="0"/>
        <w:autoSpaceDE/>
        <w:autoSpaceDN/>
        <w:bidi w:val="0"/>
        <w:adjustRightInd/>
        <w:snapToGrid/>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综合考虑用电负荷结构、业扩增长等因素，遵循“安全有序、市场主导、有保有限、灵活高效”原则，按照不低于</w:t>
      </w:r>
      <w:r>
        <w:rPr>
          <w:rFonts w:hint="default" w:ascii="Times New Roman" w:hAnsi="Times New Roman" w:eastAsia="方正仿宋_GBK" w:cs="Times New Roman"/>
          <w:color w:val="auto"/>
          <w:sz w:val="32"/>
          <w:szCs w:val="32"/>
          <w:highlight w:val="none"/>
          <w:lang w:val="en-US" w:eastAsia="zh-CN"/>
        </w:rPr>
        <w:t>183</w:t>
      </w:r>
      <w:r>
        <w:rPr>
          <w:rFonts w:hint="default" w:ascii="Times New Roman" w:hAnsi="Times New Roman" w:eastAsia="方正仿宋_GBK" w:cs="Times New Roman"/>
          <w:color w:val="auto"/>
          <w:sz w:val="32"/>
          <w:szCs w:val="32"/>
          <w:highlight w:val="none"/>
        </w:rPr>
        <w:t>万千瓦（</w:t>
      </w:r>
      <w:r>
        <w:rPr>
          <w:rFonts w:hint="default" w:ascii="Times New Roman" w:hAnsi="Times New Roman" w:eastAsia="方正仿宋_GBK" w:cs="Times New Roman"/>
          <w:color w:val="auto"/>
          <w:sz w:val="32"/>
          <w:szCs w:val="32"/>
          <w:highlight w:val="none"/>
          <w:lang w:val="en-US" w:eastAsia="zh-CN"/>
        </w:rPr>
        <w:t>高于历史</w:t>
      </w:r>
      <w:r>
        <w:rPr>
          <w:rFonts w:hint="default" w:ascii="Times New Roman" w:hAnsi="Times New Roman" w:eastAsia="方正仿宋_GBK" w:cs="Times New Roman"/>
          <w:color w:val="auto"/>
          <w:sz w:val="32"/>
          <w:szCs w:val="32"/>
          <w:highlight w:val="none"/>
        </w:rPr>
        <w:t>最大用电负荷的30%），编制《宿迁市202</w:t>
      </w:r>
      <w:r>
        <w:rPr>
          <w:rFonts w:hint="default" w:ascii="Times New Roman" w:hAnsi="Times New Roman" w:eastAsia="方正仿宋_GBK" w:cs="Times New Roman"/>
          <w:color w:val="auto"/>
          <w:sz w:val="32"/>
          <w:szCs w:val="32"/>
          <w:highlight w:val="none"/>
          <w:lang w:val="en-US" w:eastAsia="zh-CN"/>
        </w:rPr>
        <w:t>5</w:t>
      </w:r>
      <w:r>
        <w:rPr>
          <w:rFonts w:hint="default" w:ascii="Times New Roman" w:hAnsi="Times New Roman" w:eastAsia="方正仿宋_GBK" w:cs="Times New Roman"/>
          <w:color w:val="auto"/>
          <w:sz w:val="32"/>
          <w:szCs w:val="32"/>
          <w:highlight w:val="none"/>
        </w:rPr>
        <w:t>年电力负荷管理预案》，各辖区将工业企业全覆盖纳入方案、非工业</w:t>
      </w:r>
      <w:r>
        <w:rPr>
          <w:rFonts w:hint="eastAsia" w:ascii="Times New Roman" w:hAnsi="Times New Roman" w:eastAsia="方正仿宋_GBK" w:cs="Times New Roman"/>
          <w:color w:val="auto"/>
          <w:sz w:val="32"/>
          <w:szCs w:val="32"/>
          <w:highlight w:val="none"/>
          <w:lang w:eastAsia="zh-CN"/>
        </w:rPr>
        <w:t>最大可调负荷</w:t>
      </w:r>
      <w:r>
        <w:rPr>
          <w:rFonts w:hint="default" w:ascii="Times New Roman" w:hAnsi="Times New Roman" w:eastAsia="方正仿宋_GBK" w:cs="Times New Roman"/>
          <w:color w:val="auto"/>
          <w:sz w:val="32"/>
          <w:szCs w:val="32"/>
          <w:highlight w:val="none"/>
        </w:rPr>
        <w:t>应纳尽纳。约定需求响应目标容量</w:t>
      </w:r>
      <w:r>
        <w:rPr>
          <w:rFonts w:hint="default" w:ascii="Times New Roman" w:hAnsi="Times New Roman" w:eastAsia="方正仿宋_GBK" w:cs="Times New Roman"/>
          <w:color w:val="auto"/>
          <w:sz w:val="32"/>
          <w:szCs w:val="32"/>
          <w:highlight w:val="none"/>
          <w:lang w:val="en-US" w:eastAsia="zh-CN"/>
        </w:rPr>
        <w:t>33</w:t>
      </w:r>
      <w:r>
        <w:rPr>
          <w:rFonts w:hint="default" w:ascii="Times New Roman" w:hAnsi="Times New Roman" w:eastAsia="方正仿宋_GBK" w:cs="Times New Roman"/>
          <w:color w:val="auto"/>
          <w:sz w:val="32"/>
          <w:szCs w:val="32"/>
          <w:highlight w:val="none"/>
        </w:rPr>
        <w:t>万千瓦，申报总容量应达到预计响应目标的150%以上（不小于</w:t>
      </w:r>
      <w:r>
        <w:rPr>
          <w:rFonts w:hint="default" w:ascii="Times New Roman" w:hAnsi="Times New Roman" w:eastAsia="方正仿宋_GBK" w:cs="Times New Roman"/>
          <w:color w:val="auto"/>
          <w:sz w:val="32"/>
          <w:szCs w:val="32"/>
          <w:highlight w:val="none"/>
          <w:lang w:val="en-US" w:eastAsia="zh-CN"/>
        </w:rPr>
        <w:t>49.5</w:t>
      </w:r>
      <w:r>
        <w:rPr>
          <w:rFonts w:hint="default" w:ascii="Times New Roman" w:hAnsi="Times New Roman" w:eastAsia="方正仿宋_GBK" w:cs="Times New Roman"/>
          <w:color w:val="auto"/>
          <w:sz w:val="32"/>
          <w:szCs w:val="32"/>
          <w:highlight w:val="none"/>
        </w:rPr>
        <w:t>万千瓦）。</w:t>
      </w:r>
    </w:p>
    <w:p>
      <w:pPr>
        <w:pageBreakBefore w:val="0"/>
        <w:widowControl w:val="0"/>
        <w:kinsoku/>
        <w:wordWrap/>
        <w:overflowPunct/>
        <w:topLinePunct w:val="0"/>
        <w:autoSpaceDE/>
        <w:autoSpaceDN/>
        <w:bidi w:val="0"/>
        <w:adjustRightInd/>
        <w:snapToGrid/>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按照分片分区、分级预警的原则，综合各县区板块用电负荷比例及行业负荷特性，分解下达方案容量如下表所示：</w:t>
      </w:r>
    </w:p>
    <w:p>
      <w:pPr>
        <w:pStyle w:val="22"/>
        <w:spacing w:before="156" w:after="156"/>
        <w:rPr>
          <w:rFonts w:hint="default" w:ascii="Times New Roman" w:hAnsi="Times New Roman" w:eastAsia="黑体" w:cs="Times New Roman"/>
          <w:b w:val="0"/>
          <w:bCs/>
          <w:color w:val="auto"/>
          <w:sz w:val="21"/>
          <w:szCs w:val="21"/>
          <w:highlight w:val="none"/>
        </w:rPr>
      </w:pPr>
      <w:bookmarkStart w:id="86" w:name="_Toc7145"/>
      <w:r>
        <w:rPr>
          <w:rFonts w:hint="default" w:ascii="Times New Roman" w:hAnsi="Times New Roman" w:eastAsia="黑体" w:cs="Times New Roman"/>
          <w:b w:val="0"/>
          <w:bCs/>
          <w:color w:val="auto"/>
          <w:sz w:val="21"/>
          <w:szCs w:val="21"/>
          <w:highlight w:val="none"/>
        </w:rPr>
        <w:t>表4：宿迁市202</w:t>
      </w:r>
      <w:r>
        <w:rPr>
          <w:rFonts w:hint="default" w:ascii="Times New Roman" w:hAnsi="Times New Roman" w:eastAsia="黑体" w:cs="Times New Roman"/>
          <w:b w:val="0"/>
          <w:bCs/>
          <w:color w:val="auto"/>
          <w:sz w:val="21"/>
          <w:szCs w:val="21"/>
          <w:highlight w:val="none"/>
          <w:lang w:val="en-US" w:eastAsia="zh-CN"/>
        </w:rPr>
        <w:t>5</w:t>
      </w:r>
      <w:r>
        <w:rPr>
          <w:rFonts w:hint="default" w:ascii="Times New Roman" w:hAnsi="Times New Roman" w:eastAsia="黑体" w:cs="Times New Roman"/>
          <w:b w:val="0"/>
          <w:bCs/>
          <w:color w:val="auto"/>
          <w:sz w:val="21"/>
          <w:szCs w:val="21"/>
          <w:highlight w:val="none"/>
        </w:rPr>
        <w:t>年电力负荷管理目标容量分解表</w:t>
      </w:r>
      <w:bookmarkEnd w:id="86"/>
    </w:p>
    <w:p>
      <w:pPr>
        <w:spacing w:line="520" w:lineRule="exact"/>
        <w:ind w:firstLine="482"/>
        <w:jc w:val="right"/>
        <w:rPr>
          <w:rStyle w:val="15"/>
          <w:rFonts w:hint="default" w:ascii="Times New Roman" w:hAnsi="Times New Roman" w:eastAsia="方正仿宋_GBK" w:cs="Times New Roman"/>
          <w:color w:val="auto"/>
          <w:sz w:val="21"/>
          <w:szCs w:val="21"/>
          <w:highlight w:val="none"/>
        </w:rPr>
      </w:pPr>
      <w:r>
        <w:rPr>
          <w:rStyle w:val="15"/>
          <w:rFonts w:hint="default" w:ascii="Times New Roman" w:hAnsi="Times New Roman" w:eastAsia="方正仿宋_GBK" w:cs="Times New Roman"/>
          <w:color w:val="auto"/>
          <w:sz w:val="21"/>
          <w:szCs w:val="21"/>
          <w:highlight w:val="none"/>
        </w:rPr>
        <w:t>单位：万千瓦</w:t>
      </w:r>
    </w:p>
    <w:tbl>
      <w:tblPr>
        <w:tblStyle w:val="13"/>
        <w:tblW w:w="91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2511"/>
        <w:gridCol w:w="3260"/>
        <w:gridCol w:w="2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3327" w:type="dxa"/>
            <w:gridSpan w:val="2"/>
            <w:vAlign w:val="center"/>
          </w:tcPr>
          <w:p>
            <w:pPr>
              <w:widowControl/>
              <w:spacing w:line="240" w:lineRule="auto"/>
              <w:ind w:firstLine="0" w:firstLineChars="0"/>
              <w:jc w:val="center"/>
              <w:textAlignment w:val="center"/>
              <w:rPr>
                <w:rFonts w:hint="default" w:ascii="Times New Roman" w:hAnsi="Times New Roman" w:eastAsia="方正仿宋_GBK" w:cs="Times New Roman"/>
                <w:b/>
                <w:bCs/>
                <w:color w:val="auto"/>
                <w:kern w:val="0"/>
                <w:sz w:val="21"/>
                <w:szCs w:val="21"/>
                <w:highlight w:val="none"/>
                <w:lang w:bidi="ar"/>
              </w:rPr>
            </w:pPr>
            <w:r>
              <w:rPr>
                <w:rFonts w:hint="default" w:ascii="Times New Roman" w:hAnsi="Times New Roman" w:eastAsia="方正仿宋_GBK" w:cs="Times New Roman"/>
                <w:b/>
                <w:bCs/>
                <w:color w:val="auto"/>
                <w:kern w:val="0"/>
                <w:sz w:val="21"/>
                <w:szCs w:val="21"/>
                <w:highlight w:val="none"/>
                <w:lang w:bidi="ar"/>
              </w:rPr>
              <w:t>地区</w:t>
            </w:r>
          </w:p>
        </w:tc>
        <w:tc>
          <w:tcPr>
            <w:tcW w:w="3260" w:type="dxa"/>
            <w:vAlign w:val="center"/>
          </w:tcPr>
          <w:p>
            <w:pPr>
              <w:widowControl/>
              <w:spacing w:line="240" w:lineRule="auto"/>
              <w:ind w:firstLine="0" w:firstLineChars="0"/>
              <w:jc w:val="center"/>
              <w:textAlignment w:val="center"/>
              <w:rPr>
                <w:rFonts w:hint="default" w:ascii="Times New Roman" w:hAnsi="Times New Roman" w:eastAsia="方正仿宋_GBK" w:cs="Times New Roman"/>
                <w:b/>
                <w:bCs/>
                <w:color w:val="auto"/>
                <w:kern w:val="0"/>
                <w:sz w:val="21"/>
                <w:szCs w:val="21"/>
                <w:highlight w:val="none"/>
                <w:lang w:bidi="ar"/>
              </w:rPr>
            </w:pPr>
            <w:r>
              <w:rPr>
                <w:rFonts w:hint="default" w:ascii="Times New Roman" w:hAnsi="Times New Roman" w:eastAsia="方正仿宋_GBK" w:cs="Times New Roman"/>
                <w:b/>
                <w:bCs/>
                <w:color w:val="auto"/>
                <w:kern w:val="0"/>
                <w:sz w:val="21"/>
                <w:szCs w:val="21"/>
                <w:highlight w:val="none"/>
                <w:lang w:bidi="ar"/>
              </w:rPr>
              <w:t>电力负荷管理预案总容量</w:t>
            </w:r>
          </w:p>
        </w:tc>
        <w:tc>
          <w:tcPr>
            <w:tcW w:w="2593" w:type="dxa"/>
            <w:vAlign w:val="center"/>
          </w:tcPr>
          <w:p>
            <w:pPr>
              <w:widowControl/>
              <w:spacing w:line="240" w:lineRule="auto"/>
              <w:ind w:firstLine="0" w:firstLineChars="0"/>
              <w:jc w:val="center"/>
              <w:textAlignment w:val="center"/>
              <w:rPr>
                <w:rFonts w:hint="default" w:ascii="Times New Roman" w:hAnsi="Times New Roman" w:eastAsia="方正仿宋_GBK" w:cs="Times New Roman"/>
                <w:b/>
                <w:bCs/>
                <w:color w:val="auto"/>
                <w:kern w:val="0"/>
                <w:sz w:val="21"/>
                <w:szCs w:val="21"/>
                <w:highlight w:val="none"/>
                <w:lang w:bidi="ar"/>
              </w:rPr>
            </w:pPr>
            <w:r>
              <w:rPr>
                <w:rFonts w:hint="default" w:ascii="Times New Roman" w:hAnsi="Times New Roman" w:eastAsia="方正仿宋_GBK" w:cs="Times New Roman"/>
                <w:b/>
                <w:bCs/>
                <w:color w:val="auto"/>
                <w:kern w:val="0"/>
                <w:sz w:val="21"/>
                <w:szCs w:val="21"/>
                <w:highlight w:val="none"/>
                <w:lang w:bidi="ar"/>
              </w:rPr>
              <w:t>约定需求响应容量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3327" w:type="dxa"/>
            <w:gridSpan w:val="2"/>
            <w:vAlign w:val="center"/>
          </w:tcPr>
          <w:p>
            <w:pPr>
              <w:widowControl/>
              <w:spacing w:line="240" w:lineRule="auto"/>
              <w:ind w:firstLine="0" w:firstLineChars="0"/>
              <w:jc w:val="center"/>
              <w:textAlignment w:val="center"/>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b/>
                <w:bCs/>
                <w:color w:val="auto"/>
                <w:kern w:val="0"/>
                <w:sz w:val="21"/>
                <w:szCs w:val="21"/>
                <w:highlight w:val="none"/>
                <w:lang w:bidi="ar"/>
              </w:rPr>
              <w:t>全市</w:t>
            </w:r>
          </w:p>
        </w:tc>
        <w:tc>
          <w:tcPr>
            <w:tcW w:w="3260" w:type="dxa"/>
            <w:vAlign w:val="center"/>
          </w:tcPr>
          <w:p>
            <w:pPr>
              <w:widowControl/>
              <w:spacing w:line="240" w:lineRule="auto"/>
              <w:ind w:firstLine="0" w:firstLineChars="0"/>
              <w:jc w:val="center"/>
              <w:textAlignment w:val="center"/>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bidi="ar"/>
              </w:rPr>
              <w:t>1</w:t>
            </w:r>
            <w:r>
              <w:rPr>
                <w:rFonts w:hint="default" w:ascii="Times New Roman" w:hAnsi="Times New Roman" w:eastAsia="方正仿宋_GBK" w:cs="Times New Roman"/>
                <w:color w:val="auto"/>
                <w:kern w:val="0"/>
                <w:sz w:val="21"/>
                <w:szCs w:val="21"/>
                <w:highlight w:val="none"/>
                <w:lang w:val="en-US" w:eastAsia="zh-CN" w:bidi="ar"/>
              </w:rPr>
              <w:t>83</w:t>
            </w:r>
          </w:p>
        </w:tc>
        <w:tc>
          <w:tcPr>
            <w:tcW w:w="2593" w:type="dxa"/>
            <w:vAlign w:val="center"/>
          </w:tcPr>
          <w:p>
            <w:pPr>
              <w:widowControl/>
              <w:spacing w:line="240" w:lineRule="auto"/>
              <w:ind w:firstLine="0" w:firstLineChars="0"/>
              <w:jc w:val="center"/>
              <w:textAlignment w:val="center"/>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3327" w:type="dxa"/>
            <w:gridSpan w:val="2"/>
            <w:vAlign w:val="center"/>
          </w:tcPr>
          <w:p>
            <w:pPr>
              <w:widowControl/>
              <w:spacing w:line="240" w:lineRule="auto"/>
              <w:ind w:firstLine="0" w:firstLineChars="0"/>
              <w:jc w:val="center"/>
              <w:textAlignment w:val="center"/>
              <w:rPr>
                <w:rFonts w:hint="default" w:ascii="Times New Roman" w:hAnsi="Times New Roman" w:eastAsia="方正仿宋_GBK" w:cs="Times New Roman"/>
                <w:b/>
                <w:bCs/>
                <w:color w:val="auto"/>
                <w:kern w:val="0"/>
                <w:sz w:val="21"/>
                <w:szCs w:val="21"/>
                <w:highlight w:val="none"/>
                <w:lang w:bidi="ar"/>
              </w:rPr>
            </w:pPr>
            <w:r>
              <w:rPr>
                <w:rFonts w:hint="default" w:ascii="Times New Roman" w:hAnsi="Times New Roman" w:eastAsia="方正仿宋_GBK" w:cs="Times New Roman"/>
                <w:b/>
                <w:bCs/>
                <w:color w:val="auto"/>
                <w:kern w:val="0"/>
                <w:sz w:val="21"/>
                <w:szCs w:val="21"/>
                <w:highlight w:val="none"/>
                <w:lang w:bidi="ar"/>
              </w:rPr>
              <w:t>市区</w:t>
            </w:r>
          </w:p>
        </w:tc>
        <w:tc>
          <w:tcPr>
            <w:tcW w:w="3260" w:type="dxa"/>
            <w:vAlign w:val="center"/>
          </w:tcPr>
          <w:p>
            <w:pPr>
              <w:widowControl/>
              <w:spacing w:line="240" w:lineRule="auto"/>
              <w:ind w:firstLine="0" w:firstLineChars="0"/>
              <w:jc w:val="center"/>
              <w:textAlignment w:val="center"/>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75</w:t>
            </w:r>
          </w:p>
        </w:tc>
        <w:tc>
          <w:tcPr>
            <w:tcW w:w="2593" w:type="dxa"/>
            <w:vAlign w:val="center"/>
          </w:tcPr>
          <w:p>
            <w:pPr>
              <w:widowControl/>
              <w:spacing w:line="240" w:lineRule="auto"/>
              <w:ind w:firstLine="0" w:firstLineChars="0"/>
              <w:jc w:val="center"/>
              <w:textAlignment w:val="center"/>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816" w:type="dxa"/>
            <w:vMerge w:val="restart"/>
            <w:vAlign w:val="center"/>
          </w:tcPr>
          <w:p>
            <w:pPr>
              <w:widowControl/>
              <w:spacing w:line="240" w:lineRule="auto"/>
              <w:ind w:firstLine="0" w:firstLineChars="0"/>
              <w:jc w:val="center"/>
              <w:textAlignment w:val="center"/>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bidi="ar"/>
              </w:rPr>
              <w:t>其中</w:t>
            </w:r>
          </w:p>
        </w:tc>
        <w:tc>
          <w:tcPr>
            <w:tcW w:w="2511" w:type="dxa"/>
            <w:vAlign w:val="center"/>
          </w:tcPr>
          <w:p>
            <w:pPr>
              <w:widowControl/>
              <w:spacing w:line="240" w:lineRule="auto"/>
              <w:ind w:firstLine="0" w:firstLineChars="0"/>
              <w:jc w:val="center"/>
              <w:textAlignment w:val="center"/>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bidi="ar"/>
              </w:rPr>
              <w:t>运河港配售电公司</w:t>
            </w:r>
          </w:p>
        </w:tc>
        <w:tc>
          <w:tcPr>
            <w:tcW w:w="3260" w:type="dxa"/>
            <w:vAlign w:val="center"/>
          </w:tcPr>
          <w:p>
            <w:pPr>
              <w:widowControl/>
              <w:spacing w:line="240" w:lineRule="auto"/>
              <w:ind w:firstLine="0" w:firstLineChars="0"/>
              <w:jc w:val="center"/>
              <w:textAlignment w:val="center"/>
              <w:rPr>
                <w:rFonts w:hint="default" w:ascii="Times New Roman" w:hAnsi="Times New Roman" w:eastAsia="方正仿宋_GBK" w:cs="Times New Roman"/>
                <w:color w:val="auto"/>
                <w:kern w:val="0"/>
                <w:sz w:val="21"/>
                <w:szCs w:val="21"/>
                <w:highlight w:val="none"/>
                <w:lang w:eastAsia="zh-CN" w:bidi="ar"/>
              </w:rPr>
            </w:pPr>
            <w:r>
              <w:rPr>
                <w:rFonts w:hint="default" w:ascii="Times New Roman" w:hAnsi="Times New Roman" w:eastAsia="方正仿宋_GBK" w:cs="Times New Roman"/>
                <w:color w:val="auto"/>
                <w:kern w:val="0"/>
                <w:sz w:val="21"/>
                <w:szCs w:val="21"/>
                <w:highlight w:val="none"/>
                <w:lang w:bidi="ar"/>
              </w:rPr>
              <w:t>1.</w:t>
            </w:r>
            <w:r>
              <w:rPr>
                <w:rFonts w:hint="default" w:ascii="Times New Roman" w:hAnsi="Times New Roman" w:eastAsia="方正仿宋_GBK" w:cs="Times New Roman"/>
                <w:color w:val="auto"/>
                <w:kern w:val="0"/>
                <w:sz w:val="21"/>
                <w:szCs w:val="21"/>
                <w:highlight w:val="none"/>
                <w:lang w:val="en-US" w:eastAsia="zh-CN" w:bidi="ar"/>
              </w:rPr>
              <w:t>7</w:t>
            </w:r>
          </w:p>
        </w:tc>
        <w:tc>
          <w:tcPr>
            <w:tcW w:w="2593" w:type="dxa"/>
            <w:vAlign w:val="center"/>
          </w:tcPr>
          <w:p>
            <w:pPr>
              <w:widowControl/>
              <w:spacing w:line="240" w:lineRule="auto"/>
              <w:ind w:firstLine="0" w:firstLineChars="0"/>
              <w:jc w:val="center"/>
              <w:textAlignment w:val="center"/>
              <w:rPr>
                <w:rFonts w:hint="default" w:ascii="Times New Roman" w:hAnsi="Times New Roman" w:eastAsia="方正仿宋_GBK" w:cs="Times New Roman"/>
                <w:color w:val="auto"/>
                <w:kern w:val="0"/>
                <w:sz w:val="21"/>
                <w:szCs w:val="21"/>
                <w:highlight w:val="none"/>
                <w:lang w:eastAsia="zh-CN" w:bidi="ar"/>
              </w:rPr>
            </w:pPr>
            <w:r>
              <w:rPr>
                <w:rFonts w:hint="default" w:ascii="Times New Roman" w:hAnsi="Times New Roman" w:eastAsia="方正仿宋_GBK" w:cs="Times New Roman"/>
                <w:color w:val="auto"/>
                <w:kern w:val="0"/>
                <w:sz w:val="21"/>
                <w:szCs w:val="21"/>
                <w:highlight w:val="none"/>
                <w:lang w:bidi="ar"/>
              </w:rPr>
              <w:t>0.</w:t>
            </w:r>
            <w:r>
              <w:rPr>
                <w:rFonts w:hint="default" w:ascii="Times New Roman" w:hAnsi="Times New Roman" w:eastAsia="方正仿宋_GBK" w:cs="Times New Roman"/>
                <w:color w:val="auto"/>
                <w:kern w:val="0"/>
                <w:sz w:val="21"/>
                <w:szCs w:val="21"/>
                <w:highlight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jc w:val="center"/>
        </w:trPr>
        <w:tc>
          <w:tcPr>
            <w:tcW w:w="816" w:type="dxa"/>
            <w:vMerge w:val="continue"/>
            <w:vAlign w:val="center"/>
          </w:tcPr>
          <w:p>
            <w:pPr>
              <w:widowControl/>
              <w:spacing w:line="240" w:lineRule="auto"/>
              <w:ind w:firstLine="0" w:firstLineChars="0"/>
              <w:jc w:val="center"/>
              <w:textAlignment w:val="center"/>
              <w:rPr>
                <w:rFonts w:hint="default" w:ascii="Times New Roman" w:hAnsi="Times New Roman" w:eastAsia="方正仿宋_GBK" w:cs="Times New Roman"/>
                <w:color w:val="auto"/>
                <w:kern w:val="0"/>
                <w:sz w:val="21"/>
                <w:szCs w:val="21"/>
                <w:highlight w:val="none"/>
                <w:lang w:bidi="ar"/>
              </w:rPr>
            </w:pPr>
          </w:p>
        </w:tc>
        <w:tc>
          <w:tcPr>
            <w:tcW w:w="2511" w:type="dxa"/>
            <w:vAlign w:val="center"/>
          </w:tcPr>
          <w:p>
            <w:pPr>
              <w:widowControl/>
              <w:spacing w:line="240" w:lineRule="auto"/>
              <w:ind w:firstLine="0" w:firstLineChars="0"/>
              <w:jc w:val="center"/>
              <w:textAlignment w:val="center"/>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bidi="ar"/>
              </w:rPr>
              <w:t>港恒配售电公司</w:t>
            </w:r>
          </w:p>
        </w:tc>
        <w:tc>
          <w:tcPr>
            <w:tcW w:w="3260" w:type="dxa"/>
            <w:vAlign w:val="center"/>
          </w:tcPr>
          <w:p>
            <w:pPr>
              <w:widowControl/>
              <w:spacing w:line="240" w:lineRule="auto"/>
              <w:ind w:firstLine="0" w:firstLineChars="0"/>
              <w:jc w:val="center"/>
              <w:textAlignment w:val="center"/>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bidi="ar"/>
              </w:rPr>
              <w:t>0.7</w:t>
            </w:r>
          </w:p>
        </w:tc>
        <w:tc>
          <w:tcPr>
            <w:tcW w:w="2593" w:type="dxa"/>
            <w:vAlign w:val="center"/>
          </w:tcPr>
          <w:p>
            <w:pPr>
              <w:widowControl/>
              <w:spacing w:line="240" w:lineRule="auto"/>
              <w:ind w:firstLine="0" w:firstLineChars="0"/>
              <w:jc w:val="center"/>
              <w:textAlignment w:val="center"/>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bidi="ar"/>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jc w:val="center"/>
        </w:trPr>
        <w:tc>
          <w:tcPr>
            <w:tcW w:w="3327" w:type="dxa"/>
            <w:gridSpan w:val="2"/>
            <w:vAlign w:val="center"/>
          </w:tcPr>
          <w:p>
            <w:pPr>
              <w:widowControl/>
              <w:spacing w:line="240" w:lineRule="auto"/>
              <w:ind w:firstLine="0" w:firstLineChars="0"/>
              <w:jc w:val="center"/>
              <w:textAlignment w:val="center"/>
              <w:rPr>
                <w:rFonts w:hint="default" w:ascii="Times New Roman" w:hAnsi="Times New Roman" w:eastAsia="方正仿宋_GBK" w:cs="Times New Roman"/>
                <w:b/>
                <w:bCs/>
                <w:color w:val="auto"/>
                <w:kern w:val="0"/>
                <w:sz w:val="21"/>
                <w:szCs w:val="21"/>
                <w:highlight w:val="none"/>
                <w:lang w:bidi="ar"/>
              </w:rPr>
            </w:pPr>
            <w:r>
              <w:rPr>
                <w:rFonts w:hint="default" w:ascii="Times New Roman" w:hAnsi="Times New Roman" w:eastAsia="方正仿宋_GBK" w:cs="Times New Roman"/>
                <w:b/>
                <w:bCs/>
                <w:color w:val="auto"/>
                <w:kern w:val="0"/>
                <w:sz w:val="21"/>
                <w:szCs w:val="21"/>
                <w:highlight w:val="none"/>
                <w:lang w:bidi="ar"/>
              </w:rPr>
              <w:t>沭阳</w:t>
            </w:r>
          </w:p>
        </w:tc>
        <w:tc>
          <w:tcPr>
            <w:tcW w:w="3260" w:type="dxa"/>
            <w:vAlign w:val="center"/>
          </w:tcPr>
          <w:p>
            <w:pPr>
              <w:widowControl/>
              <w:spacing w:line="240" w:lineRule="auto"/>
              <w:ind w:firstLine="0" w:firstLineChars="0"/>
              <w:jc w:val="center"/>
              <w:textAlignment w:val="center"/>
              <w:rPr>
                <w:rFonts w:hint="default" w:ascii="Times New Roman" w:hAnsi="Times New Roman" w:eastAsia="方正仿宋_GBK" w:cs="Times New Roman"/>
                <w:color w:val="auto"/>
                <w:kern w:val="0"/>
                <w:sz w:val="21"/>
                <w:szCs w:val="21"/>
                <w:highlight w:val="none"/>
                <w:lang w:eastAsia="zh-CN" w:bidi="ar"/>
              </w:rPr>
            </w:pPr>
            <w:r>
              <w:rPr>
                <w:rFonts w:hint="default" w:ascii="Times New Roman" w:hAnsi="Times New Roman" w:eastAsia="方正仿宋_GBK" w:cs="Times New Roman"/>
                <w:color w:val="auto"/>
                <w:kern w:val="0"/>
                <w:sz w:val="21"/>
                <w:szCs w:val="21"/>
                <w:highlight w:val="none"/>
                <w:lang w:bidi="ar"/>
              </w:rPr>
              <w:t>5</w:t>
            </w:r>
            <w:r>
              <w:rPr>
                <w:rFonts w:hint="default" w:ascii="Times New Roman" w:hAnsi="Times New Roman" w:eastAsia="方正仿宋_GBK" w:cs="Times New Roman"/>
                <w:color w:val="auto"/>
                <w:kern w:val="0"/>
                <w:sz w:val="21"/>
                <w:szCs w:val="21"/>
                <w:highlight w:val="none"/>
                <w:lang w:val="en-US" w:eastAsia="zh-CN" w:bidi="ar"/>
              </w:rPr>
              <w:t>3</w:t>
            </w:r>
          </w:p>
        </w:tc>
        <w:tc>
          <w:tcPr>
            <w:tcW w:w="2593" w:type="dxa"/>
            <w:vAlign w:val="center"/>
          </w:tcPr>
          <w:p>
            <w:pPr>
              <w:widowControl/>
              <w:spacing w:line="240" w:lineRule="auto"/>
              <w:ind w:firstLine="0" w:firstLineChars="0"/>
              <w:jc w:val="center"/>
              <w:textAlignment w:val="center"/>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jc w:val="center"/>
        </w:trPr>
        <w:tc>
          <w:tcPr>
            <w:tcW w:w="3327" w:type="dxa"/>
            <w:gridSpan w:val="2"/>
            <w:vAlign w:val="center"/>
          </w:tcPr>
          <w:p>
            <w:pPr>
              <w:widowControl/>
              <w:spacing w:line="240" w:lineRule="auto"/>
              <w:ind w:firstLine="0" w:firstLineChars="0"/>
              <w:jc w:val="center"/>
              <w:textAlignment w:val="center"/>
              <w:rPr>
                <w:rFonts w:hint="default" w:ascii="Times New Roman" w:hAnsi="Times New Roman" w:eastAsia="方正仿宋_GBK" w:cs="Times New Roman"/>
                <w:b/>
                <w:bCs/>
                <w:color w:val="auto"/>
                <w:kern w:val="0"/>
                <w:sz w:val="21"/>
                <w:szCs w:val="21"/>
                <w:highlight w:val="none"/>
                <w:lang w:bidi="ar"/>
              </w:rPr>
            </w:pPr>
            <w:r>
              <w:rPr>
                <w:rFonts w:hint="default" w:ascii="Times New Roman" w:hAnsi="Times New Roman" w:eastAsia="方正仿宋_GBK" w:cs="Times New Roman"/>
                <w:b/>
                <w:bCs/>
                <w:color w:val="auto"/>
                <w:kern w:val="0"/>
                <w:sz w:val="21"/>
                <w:szCs w:val="21"/>
                <w:highlight w:val="none"/>
                <w:lang w:bidi="ar"/>
              </w:rPr>
              <w:t>泗阳</w:t>
            </w:r>
          </w:p>
        </w:tc>
        <w:tc>
          <w:tcPr>
            <w:tcW w:w="3260" w:type="dxa"/>
            <w:vAlign w:val="center"/>
          </w:tcPr>
          <w:p>
            <w:pPr>
              <w:widowControl/>
              <w:spacing w:line="240" w:lineRule="auto"/>
              <w:ind w:firstLine="0" w:firstLineChars="0"/>
              <w:jc w:val="center"/>
              <w:textAlignment w:val="center"/>
              <w:rPr>
                <w:rFonts w:hint="default" w:ascii="Times New Roman" w:hAnsi="Times New Roman" w:eastAsia="方正仿宋_GBK" w:cs="Times New Roman"/>
                <w:color w:val="auto"/>
                <w:kern w:val="0"/>
                <w:sz w:val="21"/>
                <w:szCs w:val="21"/>
                <w:highlight w:val="none"/>
                <w:lang w:eastAsia="zh-CN" w:bidi="ar"/>
              </w:rPr>
            </w:pPr>
            <w:r>
              <w:rPr>
                <w:rFonts w:hint="default" w:ascii="Times New Roman" w:hAnsi="Times New Roman" w:eastAsia="方正仿宋_GBK" w:cs="Times New Roman"/>
                <w:color w:val="auto"/>
                <w:kern w:val="0"/>
                <w:sz w:val="21"/>
                <w:szCs w:val="21"/>
                <w:highlight w:val="none"/>
                <w:lang w:bidi="ar"/>
              </w:rPr>
              <w:t>3</w:t>
            </w:r>
            <w:r>
              <w:rPr>
                <w:rFonts w:hint="default" w:ascii="Times New Roman" w:hAnsi="Times New Roman" w:eastAsia="方正仿宋_GBK" w:cs="Times New Roman"/>
                <w:color w:val="auto"/>
                <w:kern w:val="0"/>
                <w:sz w:val="21"/>
                <w:szCs w:val="21"/>
                <w:highlight w:val="none"/>
                <w:lang w:val="en-US" w:eastAsia="zh-CN" w:bidi="ar"/>
              </w:rPr>
              <w:t>2</w:t>
            </w:r>
          </w:p>
        </w:tc>
        <w:tc>
          <w:tcPr>
            <w:tcW w:w="2593" w:type="dxa"/>
            <w:vAlign w:val="center"/>
          </w:tcPr>
          <w:p>
            <w:pPr>
              <w:widowControl/>
              <w:spacing w:line="240" w:lineRule="auto"/>
              <w:ind w:firstLine="0" w:firstLineChars="0"/>
              <w:jc w:val="center"/>
              <w:textAlignment w:val="center"/>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bidi="ar"/>
              </w:rPr>
              <w:t>5</w:t>
            </w:r>
            <w:r>
              <w:rPr>
                <w:rFonts w:hint="default" w:ascii="Times New Roman" w:hAnsi="Times New Roman" w:eastAsia="方正仿宋_GBK" w:cs="Times New Roman"/>
                <w:color w:val="auto"/>
                <w:kern w:val="0"/>
                <w:sz w:val="21"/>
                <w:szCs w:val="21"/>
                <w:highlight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816" w:type="dxa"/>
            <w:vAlign w:val="center"/>
          </w:tcPr>
          <w:p>
            <w:pPr>
              <w:widowControl/>
              <w:spacing w:line="240" w:lineRule="auto"/>
              <w:ind w:firstLine="0" w:firstLineChars="0"/>
              <w:jc w:val="center"/>
              <w:textAlignment w:val="center"/>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bidi="ar"/>
              </w:rPr>
              <w:t>其中</w:t>
            </w:r>
          </w:p>
        </w:tc>
        <w:tc>
          <w:tcPr>
            <w:tcW w:w="2511" w:type="dxa"/>
            <w:vAlign w:val="center"/>
          </w:tcPr>
          <w:p>
            <w:pPr>
              <w:widowControl/>
              <w:spacing w:line="240" w:lineRule="auto"/>
              <w:ind w:firstLine="0" w:firstLineChars="0"/>
              <w:jc w:val="center"/>
              <w:textAlignment w:val="center"/>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color w:val="auto"/>
                <w:kern w:val="0"/>
                <w:sz w:val="21"/>
                <w:szCs w:val="21"/>
                <w:highlight w:val="none"/>
                <w:lang w:bidi="ar"/>
              </w:rPr>
              <w:t>东开配售电公司</w:t>
            </w:r>
          </w:p>
        </w:tc>
        <w:tc>
          <w:tcPr>
            <w:tcW w:w="3260" w:type="dxa"/>
            <w:vAlign w:val="center"/>
          </w:tcPr>
          <w:p>
            <w:pPr>
              <w:widowControl/>
              <w:spacing w:line="240" w:lineRule="auto"/>
              <w:ind w:firstLine="0" w:firstLineChars="0"/>
              <w:jc w:val="center"/>
              <w:textAlignment w:val="center"/>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7.2</w:t>
            </w:r>
          </w:p>
        </w:tc>
        <w:tc>
          <w:tcPr>
            <w:tcW w:w="2593" w:type="dxa"/>
            <w:vAlign w:val="center"/>
          </w:tcPr>
          <w:p>
            <w:pPr>
              <w:widowControl/>
              <w:spacing w:line="240" w:lineRule="auto"/>
              <w:ind w:firstLine="0" w:firstLineChars="0"/>
              <w:jc w:val="center"/>
              <w:textAlignment w:val="center"/>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3327" w:type="dxa"/>
            <w:gridSpan w:val="2"/>
            <w:vAlign w:val="center"/>
          </w:tcPr>
          <w:p>
            <w:pPr>
              <w:widowControl/>
              <w:spacing w:line="240" w:lineRule="auto"/>
              <w:ind w:firstLine="0" w:firstLineChars="0"/>
              <w:jc w:val="center"/>
              <w:textAlignment w:val="center"/>
              <w:rPr>
                <w:rFonts w:hint="default" w:ascii="Times New Roman" w:hAnsi="Times New Roman" w:eastAsia="方正仿宋_GBK" w:cs="Times New Roman"/>
                <w:color w:val="auto"/>
                <w:kern w:val="0"/>
                <w:sz w:val="21"/>
                <w:szCs w:val="21"/>
                <w:highlight w:val="none"/>
                <w:lang w:bidi="ar"/>
              </w:rPr>
            </w:pPr>
            <w:r>
              <w:rPr>
                <w:rFonts w:hint="default" w:ascii="Times New Roman" w:hAnsi="Times New Roman" w:eastAsia="方正仿宋_GBK" w:cs="Times New Roman"/>
                <w:b/>
                <w:bCs/>
                <w:color w:val="auto"/>
                <w:kern w:val="0"/>
                <w:sz w:val="21"/>
                <w:szCs w:val="21"/>
                <w:highlight w:val="none"/>
                <w:lang w:bidi="ar"/>
              </w:rPr>
              <w:t>泗洪</w:t>
            </w:r>
          </w:p>
        </w:tc>
        <w:tc>
          <w:tcPr>
            <w:tcW w:w="3260" w:type="dxa"/>
            <w:vAlign w:val="center"/>
          </w:tcPr>
          <w:p>
            <w:pPr>
              <w:widowControl/>
              <w:spacing w:line="240" w:lineRule="auto"/>
              <w:ind w:firstLine="0" w:firstLineChars="0"/>
              <w:jc w:val="center"/>
              <w:textAlignment w:val="center"/>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val="en-US" w:eastAsia="zh-CN" w:bidi="ar"/>
              </w:rPr>
              <w:t>23</w:t>
            </w:r>
          </w:p>
        </w:tc>
        <w:tc>
          <w:tcPr>
            <w:tcW w:w="2593" w:type="dxa"/>
            <w:vAlign w:val="center"/>
          </w:tcPr>
          <w:p>
            <w:pPr>
              <w:widowControl/>
              <w:spacing w:line="240" w:lineRule="auto"/>
              <w:ind w:firstLine="0" w:firstLineChars="0"/>
              <w:jc w:val="center"/>
              <w:textAlignment w:val="center"/>
              <w:rPr>
                <w:rFonts w:hint="default" w:ascii="Times New Roman" w:hAnsi="Times New Roman" w:eastAsia="方正仿宋_GBK" w:cs="Times New Roman"/>
                <w:color w:val="auto"/>
                <w:kern w:val="0"/>
                <w:sz w:val="21"/>
                <w:szCs w:val="21"/>
                <w:highlight w:val="none"/>
                <w:lang w:val="en-US" w:eastAsia="zh-CN" w:bidi="ar"/>
              </w:rPr>
            </w:pPr>
            <w:r>
              <w:rPr>
                <w:rFonts w:hint="default" w:ascii="Times New Roman" w:hAnsi="Times New Roman" w:eastAsia="方正仿宋_GBK" w:cs="Times New Roman"/>
                <w:color w:val="auto"/>
                <w:kern w:val="0"/>
                <w:sz w:val="21"/>
                <w:szCs w:val="21"/>
                <w:highlight w:val="none"/>
                <w:lang w:bidi="ar"/>
              </w:rPr>
              <w:t>4</w:t>
            </w:r>
            <w:r>
              <w:rPr>
                <w:rFonts w:hint="default" w:ascii="Times New Roman" w:hAnsi="Times New Roman" w:eastAsia="方正仿宋_GBK" w:cs="Times New Roman"/>
                <w:color w:val="auto"/>
                <w:kern w:val="0"/>
                <w:sz w:val="21"/>
                <w:szCs w:val="21"/>
                <w:highlight w:val="none"/>
                <w:lang w:val="en-US" w:eastAsia="zh-CN" w:bidi="ar"/>
              </w:rPr>
              <w:t>.5</w:t>
            </w:r>
          </w:p>
        </w:tc>
      </w:tr>
    </w:tbl>
    <w:p>
      <w:pPr>
        <w:pStyle w:val="22"/>
        <w:spacing w:before="156" w:after="156"/>
        <w:rPr>
          <w:rFonts w:hint="default" w:ascii="Times New Roman" w:hAnsi="Times New Roman" w:eastAsia="黑体" w:cs="Times New Roman"/>
          <w:b w:val="0"/>
          <w:bCs/>
          <w:color w:val="auto"/>
          <w:sz w:val="21"/>
          <w:szCs w:val="21"/>
          <w:highlight w:val="none"/>
        </w:rPr>
      </w:pPr>
      <w:bookmarkStart w:id="87" w:name="_Toc10437"/>
      <w:r>
        <w:rPr>
          <w:rFonts w:hint="default" w:ascii="Times New Roman" w:hAnsi="Times New Roman" w:eastAsia="黑体" w:cs="Times New Roman"/>
          <w:b w:val="0"/>
          <w:bCs/>
          <w:color w:val="auto"/>
          <w:sz w:val="21"/>
          <w:szCs w:val="21"/>
          <w:highlight w:val="none"/>
        </w:rPr>
        <w:t>表5：全市分级调控目标</w:t>
      </w:r>
      <w:bookmarkEnd w:id="87"/>
    </w:p>
    <w:p>
      <w:pPr>
        <w:spacing w:line="520" w:lineRule="exact"/>
        <w:ind w:firstLine="482"/>
        <w:jc w:val="center"/>
        <w:rPr>
          <w:rStyle w:val="15"/>
          <w:rFonts w:hint="default" w:ascii="Times New Roman" w:hAnsi="Times New Roman" w:eastAsia="方正仿宋_GBK" w:cs="Times New Roman"/>
          <w:color w:val="auto"/>
          <w:sz w:val="21"/>
          <w:szCs w:val="21"/>
          <w:highlight w:val="none"/>
        </w:rPr>
      </w:pPr>
      <w:r>
        <w:rPr>
          <w:rStyle w:val="15"/>
          <w:rFonts w:hint="default" w:ascii="Times New Roman" w:hAnsi="Times New Roman" w:eastAsia="宋体" w:cs="Times New Roman"/>
          <w:color w:val="auto"/>
          <w:highlight w:val="none"/>
        </w:rPr>
        <w:t xml:space="preserve">           </w:t>
      </w:r>
      <w:r>
        <w:rPr>
          <w:rStyle w:val="15"/>
          <w:rFonts w:hint="default" w:ascii="Times New Roman" w:hAnsi="Times New Roman" w:eastAsia="方正仿宋_GBK" w:cs="Times New Roman"/>
          <w:color w:val="auto"/>
          <w:sz w:val="21"/>
          <w:szCs w:val="21"/>
          <w:highlight w:val="none"/>
        </w:rPr>
        <w:t xml:space="preserve">                                          单位：万千瓦</w:t>
      </w:r>
    </w:p>
    <w:tbl>
      <w:tblPr>
        <w:tblStyle w:val="13"/>
        <w:tblW w:w="9174" w:type="dxa"/>
        <w:jc w:val="center"/>
        <w:tblInd w:w="0" w:type="dxa"/>
        <w:tblLayout w:type="fixed"/>
        <w:tblCellMar>
          <w:top w:w="0" w:type="dxa"/>
          <w:left w:w="108" w:type="dxa"/>
          <w:bottom w:w="0" w:type="dxa"/>
          <w:right w:w="108" w:type="dxa"/>
        </w:tblCellMar>
      </w:tblPr>
      <w:tblGrid>
        <w:gridCol w:w="1237"/>
        <w:gridCol w:w="1323"/>
        <w:gridCol w:w="1323"/>
        <w:gridCol w:w="1322"/>
        <w:gridCol w:w="1323"/>
        <w:gridCol w:w="1323"/>
        <w:gridCol w:w="1323"/>
      </w:tblGrid>
      <w:tr>
        <w:tblPrEx>
          <w:tblLayout w:type="fixed"/>
          <w:tblCellMar>
            <w:top w:w="0" w:type="dxa"/>
            <w:left w:w="108" w:type="dxa"/>
            <w:bottom w:w="0" w:type="dxa"/>
            <w:right w:w="108" w:type="dxa"/>
          </w:tblCellMar>
        </w:tblPrEx>
        <w:trPr>
          <w:trHeight w:val="555" w:hRule="atLeast"/>
          <w:jc w:val="center"/>
        </w:trPr>
        <w:tc>
          <w:tcPr>
            <w:tcW w:w="1237"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default" w:ascii="Times New Roman" w:hAnsi="Times New Roman" w:eastAsia="方正仿宋_GBK" w:cs="Times New Roman"/>
                <w:b/>
                <w:bCs/>
                <w:color w:val="auto"/>
                <w:kern w:val="0"/>
                <w:sz w:val="21"/>
                <w:szCs w:val="21"/>
                <w:highlight w:val="none"/>
              </w:rPr>
            </w:pPr>
            <w:r>
              <w:rPr>
                <w:rFonts w:hint="default" w:ascii="Times New Roman" w:hAnsi="Times New Roman" w:eastAsia="方正仿宋_GBK" w:cs="Times New Roman"/>
                <w:b/>
                <w:bCs/>
                <w:color w:val="auto"/>
                <w:kern w:val="0"/>
                <w:sz w:val="21"/>
                <w:szCs w:val="21"/>
                <w:highlight w:val="none"/>
              </w:rPr>
              <w:t>缺口等级</w:t>
            </w:r>
          </w:p>
        </w:tc>
        <w:tc>
          <w:tcPr>
            <w:tcW w:w="1323"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hint="default" w:ascii="Times New Roman" w:hAnsi="Times New Roman" w:eastAsia="方正仿宋_GBK" w:cs="Times New Roman"/>
                <w:b/>
                <w:bCs/>
                <w:color w:val="auto"/>
                <w:kern w:val="0"/>
                <w:sz w:val="21"/>
                <w:szCs w:val="21"/>
                <w:highlight w:val="none"/>
              </w:rPr>
            </w:pPr>
            <w:r>
              <w:rPr>
                <w:rFonts w:hint="default" w:ascii="Times New Roman" w:hAnsi="Times New Roman" w:eastAsia="方正仿宋_GBK" w:cs="Times New Roman"/>
                <w:b/>
                <w:bCs/>
                <w:color w:val="auto"/>
                <w:sz w:val="21"/>
                <w:szCs w:val="21"/>
                <w:highlight w:val="none"/>
              </w:rPr>
              <w:t>Ⅵ级</w:t>
            </w:r>
            <w:r>
              <w:rPr>
                <w:rFonts w:hint="default" w:ascii="Times New Roman" w:hAnsi="Times New Roman" w:eastAsia="方正仿宋_GBK" w:cs="Times New Roman"/>
                <w:b/>
                <w:bCs/>
                <w:color w:val="auto"/>
                <w:kern w:val="0"/>
                <w:sz w:val="21"/>
                <w:szCs w:val="21"/>
                <w:highlight w:val="none"/>
              </w:rPr>
              <w:t>缺口</w:t>
            </w:r>
          </w:p>
        </w:tc>
        <w:tc>
          <w:tcPr>
            <w:tcW w:w="1323"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default" w:ascii="Times New Roman" w:hAnsi="Times New Roman" w:eastAsia="方正仿宋_GBK" w:cs="Times New Roman"/>
                <w:b/>
                <w:bCs/>
                <w:color w:val="auto"/>
                <w:kern w:val="0"/>
                <w:sz w:val="21"/>
                <w:szCs w:val="21"/>
                <w:highlight w:val="none"/>
              </w:rPr>
            </w:pPr>
            <w:r>
              <w:rPr>
                <w:rFonts w:hint="default" w:ascii="Times New Roman" w:hAnsi="Times New Roman" w:eastAsia="方正仿宋_GBK" w:cs="Times New Roman"/>
                <w:b/>
                <w:bCs/>
                <w:color w:val="auto"/>
                <w:kern w:val="0"/>
                <w:sz w:val="21"/>
                <w:szCs w:val="21"/>
                <w:highlight w:val="none"/>
              </w:rPr>
              <w:t>V级缺口</w:t>
            </w:r>
          </w:p>
        </w:tc>
        <w:tc>
          <w:tcPr>
            <w:tcW w:w="132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default" w:ascii="Times New Roman" w:hAnsi="Times New Roman" w:eastAsia="方正仿宋_GBK" w:cs="Times New Roman"/>
                <w:b/>
                <w:bCs/>
                <w:color w:val="auto"/>
                <w:kern w:val="0"/>
                <w:sz w:val="21"/>
                <w:szCs w:val="21"/>
                <w:highlight w:val="none"/>
              </w:rPr>
            </w:pPr>
            <w:r>
              <w:rPr>
                <w:rFonts w:hint="eastAsia" w:ascii="Times New Roman" w:hAnsi="Times New Roman" w:eastAsia="方正仿宋_GBK" w:cs="Times New Roman"/>
                <w:b/>
                <w:bCs/>
                <w:color w:val="auto"/>
                <w:kern w:val="0"/>
                <w:sz w:val="21"/>
                <w:szCs w:val="21"/>
                <w:highlight w:val="none"/>
                <w:lang w:eastAsia="zh-CN"/>
              </w:rPr>
              <w:t>Ⅳ级</w:t>
            </w:r>
            <w:r>
              <w:rPr>
                <w:rFonts w:hint="default" w:ascii="Times New Roman" w:hAnsi="Times New Roman" w:eastAsia="方正仿宋_GBK" w:cs="Times New Roman"/>
                <w:b/>
                <w:bCs/>
                <w:color w:val="auto"/>
                <w:kern w:val="0"/>
                <w:sz w:val="21"/>
                <w:szCs w:val="21"/>
                <w:highlight w:val="none"/>
              </w:rPr>
              <w:t>缺口</w:t>
            </w:r>
          </w:p>
        </w:tc>
        <w:tc>
          <w:tcPr>
            <w:tcW w:w="1323"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default" w:ascii="Times New Roman" w:hAnsi="Times New Roman" w:eastAsia="方正仿宋_GBK" w:cs="Times New Roman"/>
                <w:b/>
                <w:bCs/>
                <w:color w:val="auto"/>
                <w:kern w:val="0"/>
                <w:sz w:val="21"/>
                <w:szCs w:val="21"/>
                <w:highlight w:val="none"/>
              </w:rPr>
            </w:pPr>
            <w:r>
              <w:rPr>
                <w:rFonts w:hint="eastAsia" w:ascii="Times New Roman" w:hAnsi="Times New Roman" w:eastAsia="方正仿宋_GBK" w:cs="Times New Roman"/>
                <w:b/>
                <w:bCs/>
                <w:color w:val="auto"/>
                <w:kern w:val="0"/>
                <w:sz w:val="21"/>
                <w:szCs w:val="21"/>
                <w:highlight w:val="none"/>
                <w:lang w:eastAsia="zh-CN"/>
              </w:rPr>
              <w:t>Ⅲ</w:t>
            </w:r>
            <w:r>
              <w:rPr>
                <w:rFonts w:hint="default" w:ascii="Times New Roman" w:hAnsi="Times New Roman" w:eastAsia="方正仿宋_GBK" w:cs="Times New Roman"/>
                <w:b/>
                <w:bCs/>
                <w:color w:val="auto"/>
                <w:kern w:val="0"/>
                <w:sz w:val="21"/>
                <w:szCs w:val="21"/>
                <w:highlight w:val="none"/>
              </w:rPr>
              <w:t>级缺口</w:t>
            </w:r>
          </w:p>
        </w:tc>
        <w:tc>
          <w:tcPr>
            <w:tcW w:w="1323"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default" w:ascii="Times New Roman" w:hAnsi="Times New Roman" w:eastAsia="方正仿宋_GBK" w:cs="Times New Roman"/>
                <w:b/>
                <w:bCs/>
                <w:color w:val="auto"/>
                <w:kern w:val="0"/>
                <w:sz w:val="21"/>
                <w:szCs w:val="21"/>
                <w:highlight w:val="none"/>
              </w:rPr>
            </w:pPr>
            <w:r>
              <w:rPr>
                <w:rFonts w:hint="eastAsia" w:ascii="Times New Roman" w:hAnsi="Times New Roman" w:eastAsia="方正仿宋_GBK" w:cs="Times New Roman"/>
                <w:b/>
                <w:bCs/>
                <w:color w:val="auto"/>
                <w:kern w:val="0"/>
                <w:sz w:val="21"/>
                <w:szCs w:val="21"/>
                <w:highlight w:val="none"/>
                <w:lang w:eastAsia="zh-CN"/>
              </w:rPr>
              <w:t>Ⅱ级</w:t>
            </w:r>
            <w:r>
              <w:rPr>
                <w:rFonts w:hint="default" w:ascii="Times New Roman" w:hAnsi="Times New Roman" w:eastAsia="方正仿宋_GBK" w:cs="Times New Roman"/>
                <w:b/>
                <w:bCs/>
                <w:color w:val="auto"/>
                <w:kern w:val="0"/>
                <w:sz w:val="21"/>
                <w:szCs w:val="21"/>
                <w:highlight w:val="none"/>
              </w:rPr>
              <w:t>缺口</w:t>
            </w:r>
          </w:p>
        </w:tc>
        <w:tc>
          <w:tcPr>
            <w:tcW w:w="1323"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default" w:ascii="Times New Roman" w:hAnsi="Times New Roman" w:eastAsia="方正仿宋_GBK" w:cs="Times New Roman"/>
                <w:b/>
                <w:bCs/>
                <w:color w:val="auto"/>
                <w:kern w:val="0"/>
                <w:sz w:val="21"/>
                <w:szCs w:val="21"/>
                <w:highlight w:val="none"/>
              </w:rPr>
            </w:pPr>
            <w:r>
              <w:rPr>
                <w:rFonts w:hint="default" w:ascii="Times New Roman" w:hAnsi="Times New Roman" w:eastAsia="方正仿宋_GBK" w:cs="Times New Roman"/>
                <w:b/>
                <w:bCs/>
                <w:color w:val="auto"/>
                <w:kern w:val="0"/>
                <w:sz w:val="21"/>
                <w:szCs w:val="21"/>
                <w:highlight w:val="none"/>
              </w:rPr>
              <w:t>I级缺口</w:t>
            </w:r>
          </w:p>
        </w:tc>
      </w:tr>
      <w:tr>
        <w:tblPrEx>
          <w:tblLayout w:type="fixed"/>
          <w:tblCellMar>
            <w:top w:w="0" w:type="dxa"/>
            <w:left w:w="108" w:type="dxa"/>
            <w:bottom w:w="0" w:type="dxa"/>
            <w:right w:w="108" w:type="dxa"/>
          </w:tblCellMar>
        </w:tblPrEx>
        <w:trPr>
          <w:trHeight w:val="525" w:hRule="atLeast"/>
          <w:jc w:val="center"/>
        </w:trPr>
        <w:tc>
          <w:tcPr>
            <w:tcW w:w="1237"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hint="default" w:ascii="Times New Roman" w:hAnsi="Times New Roman" w:eastAsia="方正仿宋_GBK" w:cs="Times New Roman"/>
                <w:b/>
                <w:bCs/>
                <w:color w:val="auto"/>
                <w:kern w:val="0"/>
                <w:sz w:val="21"/>
                <w:szCs w:val="21"/>
                <w:highlight w:val="none"/>
              </w:rPr>
            </w:pPr>
            <w:r>
              <w:rPr>
                <w:rFonts w:hint="default" w:ascii="Times New Roman" w:hAnsi="Times New Roman" w:eastAsia="方正仿宋_GBK" w:cs="Times New Roman"/>
                <w:b/>
                <w:bCs/>
                <w:color w:val="auto"/>
                <w:kern w:val="0"/>
                <w:sz w:val="21"/>
                <w:szCs w:val="21"/>
                <w:highlight w:val="none"/>
              </w:rPr>
              <w:t>调控负荷</w:t>
            </w:r>
          </w:p>
        </w:tc>
        <w:tc>
          <w:tcPr>
            <w:tcW w:w="1323" w:type="dxa"/>
            <w:tcBorders>
              <w:top w:val="single" w:color="auto" w:sz="4" w:space="0"/>
              <w:left w:val="nil"/>
              <w:bottom w:val="single" w:color="auto" w:sz="4" w:space="0"/>
              <w:right w:val="single" w:color="auto" w:sz="4" w:space="0"/>
            </w:tcBorders>
            <w:vAlign w:val="center"/>
          </w:tcPr>
          <w:p>
            <w:pPr>
              <w:widowControl/>
              <w:ind w:firstLine="0" w:firstLineChars="0"/>
              <w:jc w:val="center"/>
              <w:rPr>
                <w:rFonts w:hint="default" w:ascii="Times New Roman" w:hAnsi="Times New Roman" w:eastAsia="方正仿宋_GBK" w:cs="Times New Roman"/>
                <w:color w:val="auto"/>
                <w:kern w:val="0"/>
                <w:sz w:val="21"/>
                <w:szCs w:val="21"/>
                <w:highlight w:val="none"/>
                <w:lang w:val="en-US" w:eastAsia="zh-CN"/>
              </w:rPr>
            </w:pPr>
            <w:r>
              <w:rPr>
                <w:rFonts w:hint="default" w:ascii="Times New Roman" w:hAnsi="Times New Roman" w:eastAsia="方正仿宋_GBK" w:cs="Times New Roman"/>
                <w:color w:val="auto"/>
                <w:kern w:val="0"/>
                <w:sz w:val="21"/>
                <w:szCs w:val="21"/>
                <w:highlight w:val="none"/>
                <w:lang w:val="en-US" w:eastAsia="zh-CN"/>
              </w:rPr>
              <w:t>31</w:t>
            </w:r>
          </w:p>
        </w:tc>
        <w:tc>
          <w:tcPr>
            <w:tcW w:w="132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hint="default" w:ascii="Times New Roman" w:hAnsi="Times New Roman" w:eastAsia="方正仿宋_GBK" w:cs="Times New Roman"/>
                <w:color w:val="auto"/>
                <w:kern w:val="0"/>
                <w:sz w:val="21"/>
                <w:szCs w:val="21"/>
                <w:highlight w:val="none"/>
                <w:lang w:val="en-US" w:eastAsia="zh-CN"/>
              </w:rPr>
            </w:pPr>
            <w:r>
              <w:rPr>
                <w:rFonts w:hint="default" w:ascii="Times New Roman" w:hAnsi="Times New Roman" w:eastAsia="方正仿宋_GBK" w:cs="Times New Roman"/>
                <w:color w:val="auto"/>
                <w:kern w:val="0"/>
                <w:sz w:val="21"/>
                <w:szCs w:val="21"/>
                <w:highlight w:val="none"/>
                <w:lang w:val="en-US" w:eastAsia="zh-CN"/>
              </w:rPr>
              <w:t>62</w:t>
            </w:r>
          </w:p>
        </w:tc>
        <w:tc>
          <w:tcPr>
            <w:tcW w:w="132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hint="default" w:ascii="Times New Roman" w:hAnsi="Times New Roman" w:eastAsia="方正仿宋_GBK" w:cs="Times New Roman"/>
                <w:color w:val="auto"/>
                <w:kern w:val="0"/>
                <w:sz w:val="21"/>
                <w:szCs w:val="21"/>
                <w:highlight w:val="none"/>
                <w:lang w:val="en-US" w:eastAsia="zh-CN"/>
              </w:rPr>
            </w:pPr>
            <w:r>
              <w:rPr>
                <w:rFonts w:hint="default" w:ascii="Times New Roman" w:hAnsi="Times New Roman" w:eastAsia="方正仿宋_GBK" w:cs="Times New Roman"/>
                <w:color w:val="auto"/>
                <w:kern w:val="0"/>
                <w:sz w:val="21"/>
                <w:szCs w:val="21"/>
                <w:highlight w:val="none"/>
                <w:lang w:val="en-US" w:eastAsia="zh-CN"/>
              </w:rPr>
              <w:t>93</w:t>
            </w:r>
          </w:p>
        </w:tc>
        <w:tc>
          <w:tcPr>
            <w:tcW w:w="132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hint="default" w:ascii="Times New Roman" w:hAnsi="Times New Roman" w:eastAsia="方正仿宋_GBK" w:cs="Times New Roman"/>
                <w:color w:val="auto"/>
                <w:kern w:val="0"/>
                <w:sz w:val="21"/>
                <w:szCs w:val="21"/>
                <w:highlight w:val="none"/>
                <w:lang w:val="en-US" w:eastAsia="zh-CN"/>
              </w:rPr>
            </w:pPr>
            <w:r>
              <w:rPr>
                <w:rFonts w:hint="default" w:ascii="Times New Roman" w:hAnsi="Times New Roman" w:eastAsia="方正仿宋_GBK" w:cs="Times New Roman"/>
                <w:color w:val="auto"/>
                <w:kern w:val="0"/>
                <w:sz w:val="21"/>
                <w:szCs w:val="21"/>
                <w:highlight w:val="none"/>
                <w:lang w:val="en-US" w:eastAsia="zh-CN"/>
              </w:rPr>
              <w:t>124</w:t>
            </w:r>
          </w:p>
        </w:tc>
        <w:tc>
          <w:tcPr>
            <w:tcW w:w="132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hint="default" w:ascii="Times New Roman" w:hAnsi="Times New Roman" w:eastAsia="方正仿宋_GBK" w:cs="Times New Roman"/>
                <w:color w:val="auto"/>
                <w:kern w:val="0"/>
                <w:sz w:val="21"/>
                <w:szCs w:val="21"/>
                <w:highlight w:val="none"/>
                <w:lang w:eastAsia="zh-CN"/>
              </w:rPr>
            </w:pPr>
            <w:r>
              <w:rPr>
                <w:rFonts w:hint="default" w:ascii="Times New Roman" w:hAnsi="Times New Roman" w:eastAsia="方正仿宋_GBK" w:cs="Times New Roman"/>
                <w:color w:val="auto"/>
                <w:kern w:val="0"/>
                <w:sz w:val="21"/>
                <w:szCs w:val="21"/>
                <w:highlight w:val="none"/>
              </w:rPr>
              <w:t>1</w:t>
            </w:r>
            <w:r>
              <w:rPr>
                <w:rFonts w:hint="default" w:ascii="Times New Roman" w:hAnsi="Times New Roman" w:eastAsia="方正仿宋_GBK" w:cs="Times New Roman"/>
                <w:color w:val="auto"/>
                <w:kern w:val="0"/>
                <w:sz w:val="21"/>
                <w:szCs w:val="21"/>
                <w:highlight w:val="none"/>
                <w:lang w:val="en-US" w:eastAsia="zh-CN"/>
              </w:rPr>
              <w:t>55</w:t>
            </w:r>
          </w:p>
        </w:tc>
        <w:tc>
          <w:tcPr>
            <w:tcW w:w="132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hint="default" w:ascii="Times New Roman" w:hAnsi="Times New Roman" w:eastAsia="方正仿宋_GBK" w:cs="Times New Roman"/>
                <w:color w:val="auto"/>
                <w:kern w:val="0"/>
                <w:sz w:val="21"/>
                <w:szCs w:val="21"/>
                <w:highlight w:val="none"/>
                <w:lang w:val="en-US"/>
              </w:rPr>
            </w:pPr>
            <w:r>
              <w:rPr>
                <w:rFonts w:hint="default" w:ascii="Times New Roman" w:hAnsi="Times New Roman" w:eastAsia="方正仿宋_GBK" w:cs="Times New Roman"/>
                <w:color w:val="auto"/>
                <w:kern w:val="0"/>
                <w:sz w:val="21"/>
                <w:szCs w:val="21"/>
                <w:highlight w:val="none"/>
              </w:rPr>
              <w:t>1</w:t>
            </w:r>
            <w:r>
              <w:rPr>
                <w:rFonts w:hint="default" w:ascii="Times New Roman" w:hAnsi="Times New Roman" w:eastAsia="方正仿宋_GBK" w:cs="Times New Roman"/>
                <w:color w:val="auto"/>
                <w:kern w:val="0"/>
                <w:sz w:val="21"/>
                <w:szCs w:val="21"/>
                <w:highlight w:val="none"/>
                <w:lang w:val="en-US" w:eastAsia="zh-CN"/>
              </w:rPr>
              <w:t>86</w:t>
            </w:r>
          </w:p>
        </w:tc>
      </w:tr>
    </w:tbl>
    <w:p>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《宿迁市202</w:t>
      </w:r>
      <w:r>
        <w:rPr>
          <w:rFonts w:hint="default" w:ascii="Times New Roman" w:hAnsi="Times New Roman" w:eastAsia="方正仿宋_GBK" w:cs="Times New Roman"/>
          <w:color w:val="auto"/>
          <w:sz w:val="32"/>
          <w:szCs w:val="32"/>
          <w:highlight w:val="none"/>
          <w:lang w:val="en-US" w:eastAsia="zh-CN"/>
        </w:rPr>
        <w:t>5</w:t>
      </w:r>
      <w:r>
        <w:rPr>
          <w:rFonts w:hint="default" w:ascii="Times New Roman" w:hAnsi="Times New Roman" w:eastAsia="方正仿宋_GBK" w:cs="Times New Roman"/>
          <w:color w:val="auto"/>
          <w:sz w:val="32"/>
          <w:szCs w:val="32"/>
          <w:highlight w:val="none"/>
        </w:rPr>
        <w:t>年电力负荷管理预案》分为三个子方案，分别为高耗能行业负荷管理方案、其他工业企业精准调控方案、非工业用户柔性调控方案。同时基于三个子方案的用户负荷资源，根据实际需要在三个子方案中综合制定需求响应、负荷普降、轮休、调休、</w:t>
      </w:r>
      <w:r>
        <w:rPr>
          <w:rFonts w:hint="eastAsia" w:ascii="Times New Roman" w:hAnsi="Times New Roman" w:eastAsia="方正仿宋_GBK" w:cs="Times New Roman"/>
          <w:color w:val="auto"/>
          <w:sz w:val="32"/>
          <w:szCs w:val="32"/>
          <w:highlight w:val="none"/>
          <w:lang w:eastAsia="zh-CN"/>
        </w:rPr>
        <w:t>有序用电（负荷控制）</w:t>
      </w:r>
      <w:r>
        <w:rPr>
          <w:rFonts w:hint="default" w:ascii="Times New Roman" w:hAnsi="Times New Roman" w:eastAsia="方正仿宋_GBK" w:cs="Times New Roman"/>
          <w:color w:val="auto"/>
          <w:sz w:val="32"/>
          <w:szCs w:val="32"/>
          <w:highlight w:val="none"/>
        </w:rPr>
        <w:t>5个基本负荷管控措施，结合电力缺口等级及出现时长组合实施，方案容量不低于最高用电负荷的30%，从而达到有效、合理控制负荷的目的，实现电力供需平衡。</w:t>
      </w:r>
    </w:p>
    <w:p>
      <w:pPr>
        <w:pStyle w:val="22"/>
        <w:spacing w:before="156" w:after="156"/>
        <w:rPr>
          <w:rFonts w:hint="default" w:ascii="Times New Roman" w:hAnsi="Times New Roman" w:eastAsia="黑体" w:cs="Times New Roman"/>
          <w:b w:val="0"/>
          <w:bCs/>
          <w:color w:val="auto"/>
          <w:sz w:val="21"/>
          <w:szCs w:val="21"/>
          <w:highlight w:val="none"/>
        </w:rPr>
      </w:pPr>
      <w:bookmarkStart w:id="88" w:name="_Toc30713"/>
      <w:r>
        <w:rPr>
          <w:rFonts w:hint="default" w:ascii="Times New Roman" w:hAnsi="Times New Roman" w:eastAsia="黑体" w:cs="Times New Roman"/>
          <w:b w:val="0"/>
          <w:bCs/>
          <w:color w:val="auto"/>
          <w:sz w:val="21"/>
          <w:szCs w:val="21"/>
          <w:highlight w:val="none"/>
        </w:rPr>
        <w:t>表6：202</w:t>
      </w:r>
      <w:r>
        <w:rPr>
          <w:rFonts w:hint="default" w:ascii="Times New Roman" w:hAnsi="Times New Roman" w:eastAsia="黑体" w:cs="Times New Roman"/>
          <w:b w:val="0"/>
          <w:bCs/>
          <w:color w:val="auto"/>
          <w:sz w:val="21"/>
          <w:szCs w:val="21"/>
          <w:highlight w:val="none"/>
          <w:lang w:val="en-US" w:eastAsia="zh-CN"/>
        </w:rPr>
        <w:t>5</w:t>
      </w:r>
      <w:r>
        <w:rPr>
          <w:rFonts w:hint="default" w:ascii="Times New Roman" w:hAnsi="Times New Roman" w:eastAsia="黑体" w:cs="Times New Roman"/>
          <w:b w:val="0"/>
          <w:bCs/>
          <w:color w:val="auto"/>
          <w:sz w:val="21"/>
          <w:szCs w:val="21"/>
          <w:highlight w:val="none"/>
        </w:rPr>
        <w:t>年电力负荷管理预案调控容量汇总表</w:t>
      </w:r>
      <w:bookmarkEnd w:id="88"/>
    </w:p>
    <w:p>
      <w:pPr>
        <w:pStyle w:val="2"/>
        <w:keepNext w:val="0"/>
        <w:keepLines w:val="0"/>
        <w:pageBreakBefore w:val="0"/>
        <w:widowControl w:val="0"/>
        <w:kinsoku/>
        <w:wordWrap/>
        <w:overflowPunct/>
        <w:topLinePunct w:val="0"/>
        <w:autoSpaceDE/>
        <w:autoSpaceDN/>
        <w:bidi w:val="0"/>
        <w:adjustRightInd/>
        <w:snapToGrid/>
        <w:spacing w:line="280" w:lineRule="exact"/>
        <w:ind w:firstLine="482"/>
        <w:jc w:val="right"/>
        <w:textAlignment w:val="auto"/>
        <w:rPr>
          <w:rStyle w:val="15"/>
          <w:rFonts w:hint="default" w:ascii="Times New Roman" w:hAnsi="Times New Roman" w:eastAsia="方正仿宋_GBK" w:cs="Times New Roman"/>
          <w:color w:val="auto"/>
          <w:sz w:val="21"/>
          <w:szCs w:val="21"/>
          <w:highlight w:val="none"/>
        </w:rPr>
      </w:pPr>
      <w:r>
        <w:rPr>
          <w:rStyle w:val="15"/>
          <w:rFonts w:hint="default" w:ascii="Times New Roman" w:hAnsi="Times New Roman" w:eastAsia="方正仿宋_GBK" w:cs="Times New Roman"/>
          <w:color w:val="auto"/>
          <w:sz w:val="21"/>
          <w:szCs w:val="21"/>
          <w:highlight w:val="none"/>
        </w:rPr>
        <w:t>单位：户、万千瓦</w:t>
      </w:r>
    </w:p>
    <w:tbl>
      <w:tblPr>
        <w:tblStyle w:val="13"/>
        <w:tblW w:w="8984"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260"/>
        <w:gridCol w:w="1007"/>
        <w:gridCol w:w="914"/>
        <w:gridCol w:w="1244"/>
        <w:gridCol w:w="1024"/>
        <w:gridCol w:w="1376"/>
        <w:gridCol w:w="953"/>
        <w:gridCol w:w="12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05" w:hRule="atLeast"/>
          <w:jc w:val="center"/>
        </w:trPr>
        <w:tc>
          <w:tcPr>
            <w:tcW w:w="1260" w:type="dxa"/>
            <w:vMerge w:val="restart"/>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lang w:val="en-US" w:eastAsia="zh-CN"/>
              </w:rPr>
              <w:t>县区</w:t>
            </w:r>
          </w:p>
        </w:tc>
        <w:tc>
          <w:tcPr>
            <w:tcW w:w="1007" w:type="dxa"/>
            <w:vMerge w:val="restart"/>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lang w:val="en-US" w:eastAsia="zh-CN"/>
              </w:rPr>
              <w:t>方案总户数</w:t>
            </w:r>
          </w:p>
        </w:tc>
        <w:tc>
          <w:tcPr>
            <w:tcW w:w="2158" w:type="dxa"/>
            <w:gridSpan w:val="2"/>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pacing w:val="-11"/>
                <w:sz w:val="21"/>
                <w:szCs w:val="21"/>
                <w:highlight w:val="none"/>
                <w:lang w:val="en-US" w:eastAsia="zh-CN"/>
              </w:rPr>
              <w:t>高耗能行业负荷管理方案</w:t>
            </w:r>
          </w:p>
        </w:tc>
        <w:tc>
          <w:tcPr>
            <w:tcW w:w="2400" w:type="dxa"/>
            <w:gridSpan w:val="2"/>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bCs/>
                <w:color w:val="auto"/>
                <w:spacing w:val="-11"/>
                <w:sz w:val="21"/>
                <w:szCs w:val="21"/>
                <w:highlight w:val="none"/>
                <w:lang w:val="en-US" w:eastAsia="zh-CN"/>
              </w:rPr>
            </w:pPr>
            <w:r>
              <w:rPr>
                <w:rFonts w:hint="default" w:ascii="Times New Roman" w:hAnsi="Times New Roman" w:eastAsia="方正仿宋_GBK" w:cs="Times New Roman"/>
                <w:b/>
                <w:bCs/>
                <w:color w:val="auto"/>
                <w:spacing w:val="-11"/>
                <w:sz w:val="21"/>
                <w:szCs w:val="21"/>
                <w:highlight w:val="none"/>
                <w:lang w:val="en-US" w:eastAsia="zh-CN"/>
              </w:rPr>
              <w:t>其他工业企业精准调控方案</w:t>
            </w:r>
          </w:p>
        </w:tc>
        <w:tc>
          <w:tcPr>
            <w:tcW w:w="2159" w:type="dxa"/>
            <w:gridSpan w:val="2"/>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bCs/>
                <w:color w:val="auto"/>
                <w:spacing w:val="-11"/>
                <w:sz w:val="21"/>
                <w:szCs w:val="21"/>
                <w:highlight w:val="none"/>
                <w:lang w:val="en-US" w:eastAsia="zh-CN"/>
              </w:rPr>
            </w:pPr>
            <w:r>
              <w:rPr>
                <w:rFonts w:hint="default" w:ascii="Times New Roman" w:hAnsi="Times New Roman" w:eastAsia="方正仿宋_GBK" w:cs="Times New Roman"/>
                <w:b/>
                <w:bCs/>
                <w:color w:val="auto"/>
                <w:spacing w:val="-11"/>
                <w:sz w:val="21"/>
                <w:szCs w:val="21"/>
                <w:highlight w:val="none"/>
                <w:lang w:val="en-US" w:eastAsia="zh-CN"/>
              </w:rPr>
              <w:t>非工业用户柔性调控方案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55" w:hRule="atLeast"/>
          <w:jc w:val="center"/>
        </w:trPr>
        <w:tc>
          <w:tcPr>
            <w:tcW w:w="1260" w:type="dxa"/>
            <w:vMerge w:val="continue"/>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bCs/>
                <w:color w:val="auto"/>
                <w:sz w:val="21"/>
                <w:szCs w:val="21"/>
                <w:highlight w:val="none"/>
              </w:rPr>
            </w:pPr>
          </w:p>
        </w:tc>
        <w:tc>
          <w:tcPr>
            <w:tcW w:w="1007" w:type="dxa"/>
            <w:vMerge w:val="continue"/>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bCs/>
                <w:color w:val="auto"/>
                <w:sz w:val="21"/>
                <w:szCs w:val="21"/>
                <w:highlight w:val="none"/>
              </w:rPr>
            </w:pPr>
          </w:p>
        </w:tc>
        <w:tc>
          <w:tcPr>
            <w:tcW w:w="91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lang w:val="en-US" w:eastAsia="zh-CN"/>
              </w:rPr>
              <w:t>用户数</w:t>
            </w:r>
          </w:p>
        </w:tc>
        <w:tc>
          <w:tcPr>
            <w:tcW w:w="124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bCs/>
                <w:color w:val="auto"/>
                <w:sz w:val="21"/>
                <w:szCs w:val="21"/>
                <w:highlight w:val="none"/>
              </w:rPr>
            </w:pPr>
            <w:r>
              <w:rPr>
                <w:rFonts w:hint="eastAsia" w:ascii="Times New Roman" w:hAnsi="Times New Roman" w:eastAsia="方正仿宋_GBK" w:cs="Times New Roman"/>
                <w:b/>
                <w:bCs/>
                <w:color w:val="auto"/>
                <w:sz w:val="21"/>
                <w:szCs w:val="21"/>
                <w:highlight w:val="none"/>
                <w:lang w:val="en-US" w:eastAsia="zh-CN"/>
              </w:rPr>
              <w:t>最大可调节负荷</w:t>
            </w:r>
          </w:p>
        </w:tc>
        <w:tc>
          <w:tcPr>
            <w:tcW w:w="102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lang w:val="en-US" w:eastAsia="zh-CN"/>
              </w:rPr>
              <w:t>用户数</w:t>
            </w:r>
          </w:p>
        </w:tc>
        <w:tc>
          <w:tcPr>
            <w:tcW w:w="1376"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bCs/>
                <w:color w:val="auto"/>
                <w:sz w:val="21"/>
                <w:szCs w:val="21"/>
                <w:highlight w:val="none"/>
              </w:rPr>
            </w:pPr>
            <w:r>
              <w:rPr>
                <w:rFonts w:hint="eastAsia" w:ascii="Times New Roman" w:hAnsi="Times New Roman" w:eastAsia="方正仿宋_GBK" w:cs="Times New Roman"/>
                <w:b/>
                <w:bCs/>
                <w:color w:val="auto"/>
                <w:sz w:val="21"/>
                <w:szCs w:val="21"/>
                <w:highlight w:val="none"/>
                <w:lang w:val="en-US" w:eastAsia="zh-CN"/>
              </w:rPr>
              <w:t>最大可调节负荷</w:t>
            </w:r>
          </w:p>
        </w:tc>
        <w:tc>
          <w:tcPr>
            <w:tcW w:w="953"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lang w:val="en-US" w:eastAsia="zh-CN"/>
              </w:rPr>
              <w:t>用户数</w:t>
            </w:r>
          </w:p>
        </w:tc>
        <w:tc>
          <w:tcPr>
            <w:tcW w:w="1206"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bCs/>
                <w:color w:val="auto"/>
                <w:sz w:val="21"/>
                <w:szCs w:val="21"/>
                <w:highlight w:val="none"/>
              </w:rPr>
            </w:pPr>
            <w:r>
              <w:rPr>
                <w:rFonts w:hint="eastAsia" w:ascii="Times New Roman" w:hAnsi="Times New Roman" w:eastAsia="方正仿宋_GBK" w:cs="Times New Roman"/>
                <w:b/>
                <w:bCs/>
                <w:color w:val="auto"/>
                <w:sz w:val="21"/>
                <w:szCs w:val="21"/>
                <w:highlight w:val="none"/>
                <w:lang w:val="en-US" w:eastAsia="zh-CN"/>
              </w:rPr>
              <w:t>最大可调节负荷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59" w:hRule="atLeast"/>
          <w:jc w:val="center"/>
        </w:trPr>
        <w:tc>
          <w:tcPr>
            <w:tcW w:w="126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rPr>
            </w:pPr>
            <w:r>
              <w:rPr>
                <w:rFonts w:hint="default" w:ascii="Times New Roman" w:hAnsi="Times New Roman" w:eastAsia="方正仿宋_GBK" w:cs="Times New Roman"/>
                <w:b w:val="0"/>
                <w:bCs w:val="0"/>
                <w:color w:val="auto"/>
                <w:sz w:val="21"/>
                <w:szCs w:val="21"/>
                <w:highlight w:val="none"/>
                <w:lang w:val="en-US" w:eastAsia="zh-CN"/>
              </w:rPr>
              <w:t>全市</w:t>
            </w:r>
          </w:p>
        </w:tc>
        <w:tc>
          <w:tcPr>
            <w:tcW w:w="1007"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8753</w:t>
            </w:r>
          </w:p>
        </w:tc>
        <w:tc>
          <w:tcPr>
            <w:tcW w:w="91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269</w:t>
            </w:r>
          </w:p>
        </w:tc>
        <w:tc>
          <w:tcPr>
            <w:tcW w:w="124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21.02</w:t>
            </w:r>
          </w:p>
        </w:tc>
        <w:tc>
          <w:tcPr>
            <w:tcW w:w="102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7113</w:t>
            </w:r>
          </w:p>
        </w:tc>
        <w:tc>
          <w:tcPr>
            <w:tcW w:w="1376"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164.59</w:t>
            </w:r>
          </w:p>
        </w:tc>
        <w:tc>
          <w:tcPr>
            <w:tcW w:w="953"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1371</w:t>
            </w:r>
          </w:p>
        </w:tc>
        <w:tc>
          <w:tcPr>
            <w:tcW w:w="1206"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9.76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63" w:hRule="atLeast"/>
          <w:jc w:val="center"/>
        </w:trPr>
        <w:tc>
          <w:tcPr>
            <w:tcW w:w="126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rPr>
            </w:pPr>
            <w:r>
              <w:rPr>
                <w:rFonts w:hint="default" w:ascii="Times New Roman" w:hAnsi="Times New Roman" w:eastAsia="方正仿宋_GBK" w:cs="Times New Roman"/>
                <w:b w:val="0"/>
                <w:bCs w:val="0"/>
                <w:color w:val="auto"/>
                <w:sz w:val="21"/>
                <w:szCs w:val="21"/>
                <w:highlight w:val="none"/>
                <w:lang w:val="en-US" w:eastAsia="zh-CN"/>
              </w:rPr>
              <w:t>宿豫</w:t>
            </w:r>
          </w:p>
        </w:tc>
        <w:tc>
          <w:tcPr>
            <w:tcW w:w="1007"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rPr>
            </w:pPr>
            <w:r>
              <w:rPr>
                <w:rFonts w:hint="default" w:ascii="Times New Roman" w:hAnsi="Times New Roman" w:eastAsia="方正仿宋_GBK" w:cs="Times New Roman"/>
                <w:b w:val="0"/>
                <w:bCs w:val="0"/>
                <w:color w:val="auto"/>
                <w:sz w:val="21"/>
                <w:szCs w:val="21"/>
                <w:highlight w:val="none"/>
              </w:rPr>
              <w:t>927</w:t>
            </w:r>
          </w:p>
        </w:tc>
        <w:tc>
          <w:tcPr>
            <w:tcW w:w="91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62</w:t>
            </w:r>
          </w:p>
        </w:tc>
        <w:tc>
          <w:tcPr>
            <w:tcW w:w="124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13.14</w:t>
            </w:r>
          </w:p>
        </w:tc>
        <w:tc>
          <w:tcPr>
            <w:tcW w:w="102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639</w:t>
            </w:r>
          </w:p>
        </w:tc>
        <w:tc>
          <w:tcPr>
            <w:tcW w:w="1376"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18.51</w:t>
            </w:r>
          </w:p>
        </w:tc>
        <w:tc>
          <w:tcPr>
            <w:tcW w:w="953"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226</w:t>
            </w:r>
          </w:p>
        </w:tc>
        <w:tc>
          <w:tcPr>
            <w:tcW w:w="1206"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1.07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30" w:hRule="atLeast"/>
          <w:jc w:val="center"/>
        </w:trPr>
        <w:tc>
          <w:tcPr>
            <w:tcW w:w="126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rPr>
            </w:pPr>
            <w:r>
              <w:rPr>
                <w:rFonts w:hint="default" w:ascii="Times New Roman" w:hAnsi="Times New Roman" w:eastAsia="方正仿宋_GBK" w:cs="Times New Roman"/>
                <w:b w:val="0"/>
                <w:bCs w:val="0"/>
                <w:color w:val="auto"/>
                <w:sz w:val="21"/>
                <w:szCs w:val="21"/>
                <w:highlight w:val="none"/>
                <w:lang w:val="en-US" w:eastAsia="zh-CN"/>
              </w:rPr>
              <w:t>宿城</w:t>
            </w:r>
          </w:p>
        </w:tc>
        <w:tc>
          <w:tcPr>
            <w:tcW w:w="1007"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rPr>
            </w:pPr>
            <w:r>
              <w:rPr>
                <w:rFonts w:hint="default" w:ascii="Times New Roman" w:hAnsi="Times New Roman" w:eastAsia="方正仿宋_GBK" w:cs="Times New Roman"/>
                <w:b w:val="0"/>
                <w:bCs w:val="0"/>
                <w:color w:val="auto"/>
                <w:sz w:val="21"/>
                <w:szCs w:val="21"/>
                <w:highlight w:val="none"/>
              </w:rPr>
              <w:t>1635</w:t>
            </w:r>
          </w:p>
        </w:tc>
        <w:tc>
          <w:tcPr>
            <w:tcW w:w="91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64</w:t>
            </w:r>
          </w:p>
        </w:tc>
        <w:tc>
          <w:tcPr>
            <w:tcW w:w="124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3.38</w:t>
            </w:r>
          </w:p>
        </w:tc>
        <w:tc>
          <w:tcPr>
            <w:tcW w:w="102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1094</w:t>
            </w:r>
          </w:p>
        </w:tc>
        <w:tc>
          <w:tcPr>
            <w:tcW w:w="1376"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43.58</w:t>
            </w:r>
          </w:p>
        </w:tc>
        <w:tc>
          <w:tcPr>
            <w:tcW w:w="953"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477</w:t>
            </w:r>
          </w:p>
        </w:tc>
        <w:tc>
          <w:tcPr>
            <w:tcW w:w="1206"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4.25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00" w:hRule="atLeast"/>
          <w:jc w:val="center"/>
        </w:trPr>
        <w:tc>
          <w:tcPr>
            <w:tcW w:w="126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rPr>
            </w:pPr>
            <w:r>
              <w:rPr>
                <w:rFonts w:hint="default" w:ascii="Times New Roman" w:hAnsi="Times New Roman" w:eastAsia="方正仿宋_GBK" w:cs="Times New Roman"/>
                <w:b w:val="0"/>
                <w:bCs w:val="0"/>
                <w:color w:val="auto"/>
                <w:sz w:val="21"/>
                <w:szCs w:val="21"/>
                <w:highlight w:val="none"/>
                <w:lang w:val="en-US" w:eastAsia="zh-CN"/>
              </w:rPr>
              <w:t>其中增量配电网</w:t>
            </w:r>
          </w:p>
        </w:tc>
        <w:tc>
          <w:tcPr>
            <w:tcW w:w="1007"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100</w:t>
            </w:r>
          </w:p>
        </w:tc>
        <w:tc>
          <w:tcPr>
            <w:tcW w:w="91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10</w:t>
            </w:r>
          </w:p>
        </w:tc>
        <w:tc>
          <w:tcPr>
            <w:tcW w:w="124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1.34</w:t>
            </w:r>
          </w:p>
        </w:tc>
        <w:tc>
          <w:tcPr>
            <w:tcW w:w="102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48</w:t>
            </w:r>
          </w:p>
        </w:tc>
        <w:tc>
          <w:tcPr>
            <w:tcW w:w="1376"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2.60</w:t>
            </w:r>
          </w:p>
        </w:tc>
        <w:tc>
          <w:tcPr>
            <w:tcW w:w="953"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42</w:t>
            </w:r>
          </w:p>
        </w:tc>
        <w:tc>
          <w:tcPr>
            <w:tcW w:w="1206"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0.14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4" w:hRule="atLeast"/>
          <w:jc w:val="center"/>
        </w:trPr>
        <w:tc>
          <w:tcPr>
            <w:tcW w:w="126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rPr>
            </w:pPr>
            <w:r>
              <w:rPr>
                <w:rFonts w:hint="default" w:ascii="Times New Roman" w:hAnsi="Times New Roman" w:eastAsia="方正仿宋_GBK" w:cs="Times New Roman"/>
                <w:b w:val="0"/>
                <w:bCs w:val="0"/>
                <w:color w:val="auto"/>
                <w:sz w:val="21"/>
                <w:szCs w:val="21"/>
                <w:highlight w:val="none"/>
                <w:lang w:val="en-US" w:eastAsia="zh-CN"/>
              </w:rPr>
              <w:t>沭阳</w:t>
            </w:r>
          </w:p>
        </w:tc>
        <w:tc>
          <w:tcPr>
            <w:tcW w:w="1007"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3045</w:t>
            </w:r>
          </w:p>
        </w:tc>
        <w:tc>
          <w:tcPr>
            <w:tcW w:w="91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75</w:t>
            </w:r>
          </w:p>
        </w:tc>
        <w:tc>
          <w:tcPr>
            <w:tcW w:w="124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2.74</w:t>
            </w:r>
          </w:p>
        </w:tc>
        <w:tc>
          <w:tcPr>
            <w:tcW w:w="102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2744</w:t>
            </w:r>
          </w:p>
        </w:tc>
        <w:tc>
          <w:tcPr>
            <w:tcW w:w="1376"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49.14</w:t>
            </w:r>
          </w:p>
        </w:tc>
        <w:tc>
          <w:tcPr>
            <w:tcW w:w="953"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226</w:t>
            </w:r>
          </w:p>
        </w:tc>
        <w:tc>
          <w:tcPr>
            <w:tcW w:w="1206"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2.64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jc w:val="center"/>
        </w:trPr>
        <w:tc>
          <w:tcPr>
            <w:tcW w:w="126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rPr>
            </w:pPr>
            <w:r>
              <w:rPr>
                <w:rFonts w:hint="default" w:ascii="Times New Roman" w:hAnsi="Times New Roman" w:eastAsia="方正仿宋_GBK" w:cs="Times New Roman"/>
                <w:b w:val="0"/>
                <w:bCs w:val="0"/>
                <w:color w:val="auto"/>
                <w:sz w:val="21"/>
                <w:szCs w:val="21"/>
                <w:highlight w:val="none"/>
                <w:lang w:val="en-US" w:eastAsia="zh-CN"/>
              </w:rPr>
              <w:t>泗阳</w:t>
            </w:r>
          </w:p>
        </w:tc>
        <w:tc>
          <w:tcPr>
            <w:tcW w:w="1007"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1641</w:t>
            </w:r>
          </w:p>
        </w:tc>
        <w:tc>
          <w:tcPr>
            <w:tcW w:w="91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34</w:t>
            </w:r>
          </w:p>
        </w:tc>
        <w:tc>
          <w:tcPr>
            <w:tcW w:w="124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0.72</w:t>
            </w:r>
          </w:p>
        </w:tc>
        <w:tc>
          <w:tcPr>
            <w:tcW w:w="102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1316</w:t>
            </w:r>
          </w:p>
        </w:tc>
        <w:tc>
          <w:tcPr>
            <w:tcW w:w="1376"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31.23</w:t>
            </w:r>
          </w:p>
        </w:tc>
        <w:tc>
          <w:tcPr>
            <w:tcW w:w="953"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291</w:t>
            </w:r>
          </w:p>
        </w:tc>
        <w:tc>
          <w:tcPr>
            <w:tcW w:w="1206"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0.47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00" w:hRule="atLeast"/>
          <w:jc w:val="center"/>
        </w:trPr>
        <w:tc>
          <w:tcPr>
            <w:tcW w:w="126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rPr>
            </w:pPr>
            <w:r>
              <w:rPr>
                <w:rFonts w:hint="default" w:ascii="Times New Roman" w:hAnsi="Times New Roman" w:eastAsia="方正仿宋_GBK" w:cs="Times New Roman"/>
                <w:b w:val="0"/>
                <w:bCs w:val="0"/>
                <w:color w:val="auto"/>
                <w:sz w:val="21"/>
                <w:szCs w:val="21"/>
                <w:highlight w:val="none"/>
                <w:lang w:val="en-US" w:eastAsia="zh-CN"/>
              </w:rPr>
              <w:t>其中增量配电网</w:t>
            </w:r>
          </w:p>
        </w:tc>
        <w:tc>
          <w:tcPr>
            <w:tcW w:w="1007"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41</w:t>
            </w:r>
          </w:p>
        </w:tc>
        <w:tc>
          <w:tcPr>
            <w:tcW w:w="91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0</w:t>
            </w:r>
          </w:p>
        </w:tc>
        <w:tc>
          <w:tcPr>
            <w:tcW w:w="124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0.00</w:t>
            </w:r>
          </w:p>
        </w:tc>
        <w:tc>
          <w:tcPr>
            <w:tcW w:w="102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41</w:t>
            </w:r>
          </w:p>
        </w:tc>
        <w:tc>
          <w:tcPr>
            <w:tcW w:w="1376"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6.22</w:t>
            </w:r>
          </w:p>
        </w:tc>
        <w:tc>
          <w:tcPr>
            <w:tcW w:w="953"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0</w:t>
            </w:r>
          </w:p>
        </w:tc>
        <w:tc>
          <w:tcPr>
            <w:tcW w:w="1206"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52" w:hRule="atLeast"/>
          <w:jc w:val="center"/>
        </w:trPr>
        <w:tc>
          <w:tcPr>
            <w:tcW w:w="126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rPr>
            </w:pPr>
            <w:r>
              <w:rPr>
                <w:rFonts w:hint="default" w:ascii="Times New Roman" w:hAnsi="Times New Roman" w:eastAsia="方正仿宋_GBK" w:cs="Times New Roman"/>
                <w:b w:val="0"/>
                <w:bCs w:val="0"/>
                <w:color w:val="auto"/>
                <w:sz w:val="21"/>
                <w:szCs w:val="21"/>
                <w:highlight w:val="none"/>
                <w:lang w:val="en-US" w:eastAsia="zh-CN"/>
              </w:rPr>
              <w:t>泗洪</w:t>
            </w:r>
          </w:p>
        </w:tc>
        <w:tc>
          <w:tcPr>
            <w:tcW w:w="1007"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1505</w:t>
            </w:r>
          </w:p>
        </w:tc>
        <w:tc>
          <w:tcPr>
            <w:tcW w:w="91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34</w:t>
            </w:r>
          </w:p>
        </w:tc>
        <w:tc>
          <w:tcPr>
            <w:tcW w:w="124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1.04</w:t>
            </w:r>
          </w:p>
        </w:tc>
        <w:tc>
          <w:tcPr>
            <w:tcW w:w="102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1320</w:t>
            </w:r>
          </w:p>
        </w:tc>
        <w:tc>
          <w:tcPr>
            <w:tcW w:w="1376"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22.13</w:t>
            </w:r>
          </w:p>
        </w:tc>
        <w:tc>
          <w:tcPr>
            <w:tcW w:w="953"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151</w:t>
            </w:r>
          </w:p>
        </w:tc>
        <w:tc>
          <w:tcPr>
            <w:tcW w:w="1206"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1.33</w:t>
            </w:r>
          </w:p>
        </w:tc>
      </w:tr>
    </w:tbl>
    <w:p>
      <w:pPr>
        <w:pageBreakBefore w:val="0"/>
        <w:widowControl w:val="0"/>
        <w:kinsoku/>
        <w:wordWrap/>
        <w:overflowPunct/>
        <w:topLinePunct w:val="0"/>
        <w:autoSpaceDE/>
        <w:autoSpaceDN/>
        <w:bidi w:val="0"/>
        <w:adjustRightInd/>
        <w:snapToGrid/>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三个子方案合计涉及客户</w:t>
      </w:r>
      <w:r>
        <w:rPr>
          <w:rFonts w:hint="eastAsia" w:ascii="Times New Roman" w:hAnsi="Times New Roman" w:eastAsia="方正仿宋_GBK" w:cs="Times New Roman"/>
          <w:color w:val="auto"/>
          <w:sz w:val="32"/>
          <w:szCs w:val="32"/>
          <w:highlight w:val="none"/>
          <w:lang w:val="en-US" w:eastAsia="zh-CN"/>
        </w:rPr>
        <w:t>8753</w:t>
      </w:r>
      <w:r>
        <w:rPr>
          <w:rFonts w:hint="default" w:ascii="Times New Roman" w:hAnsi="Times New Roman" w:eastAsia="方正仿宋_GBK" w:cs="Times New Roman"/>
          <w:color w:val="auto"/>
          <w:sz w:val="32"/>
          <w:szCs w:val="32"/>
          <w:highlight w:val="none"/>
        </w:rPr>
        <w:t>户，早、腰、晚最大</w:t>
      </w:r>
      <w:r>
        <w:rPr>
          <w:rFonts w:hint="eastAsia" w:ascii="Times New Roman" w:hAnsi="Times New Roman" w:eastAsia="方正仿宋_GBK" w:cs="Times New Roman"/>
          <w:color w:val="auto"/>
          <w:sz w:val="32"/>
          <w:szCs w:val="32"/>
          <w:highlight w:val="none"/>
          <w:lang w:eastAsia="zh-CN"/>
        </w:rPr>
        <w:t>可调节负荷</w:t>
      </w:r>
      <w:r>
        <w:rPr>
          <w:rFonts w:hint="default" w:ascii="Times New Roman" w:hAnsi="Times New Roman" w:eastAsia="方正仿宋_GBK" w:cs="Times New Roman"/>
          <w:color w:val="auto"/>
          <w:sz w:val="32"/>
          <w:szCs w:val="32"/>
          <w:highlight w:val="none"/>
        </w:rPr>
        <w:t>分别为</w:t>
      </w:r>
      <w:r>
        <w:rPr>
          <w:rFonts w:hint="eastAsia" w:ascii="Times New Roman" w:hAnsi="Times New Roman" w:eastAsia="方正仿宋_GBK" w:cs="Times New Roman"/>
          <w:color w:val="auto"/>
          <w:sz w:val="32"/>
          <w:szCs w:val="32"/>
          <w:highlight w:val="none"/>
          <w:lang w:val="en-US" w:eastAsia="zh-CN"/>
        </w:rPr>
        <w:t>197.62</w:t>
      </w:r>
      <w:r>
        <w:rPr>
          <w:rFonts w:hint="default" w:ascii="Times New Roman" w:hAnsi="Times New Roman" w:eastAsia="方正仿宋_GBK" w:cs="Times New Roman"/>
          <w:color w:val="auto"/>
          <w:sz w:val="32"/>
          <w:szCs w:val="32"/>
          <w:highlight w:val="none"/>
        </w:rPr>
        <w:t>万千瓦、</w:t>
      </w:r>
      <w:r>
        <w:rPr>
          <w:rFonts w:hint="eastAsia" w:ascii="Times New Roman" w:hAnsi="Times New Roman" w:eastAsia="方正仿宋_GBK" w:cs="Times New Roman"/>
          <w:color w:val="auto"/>
          <w:sz w:val="32"/>
          <w:szCs w:val="32"/>
          <w:highlight w:val="none"/>
          <w:lang w:val="en-US" w:eastAsia="zh-CN"/>
        </w:rPr>
        <w:t>195.38</w:t>
      </w:r>
      <w:r>
        <w:rPr>
          <w:rFonts w:hint="default" w:ascii="Times New Roman" w:hAnsi="Times New Roman" w:eastAsia="方正仿宋_GBK" w:cs="Times New Roman"/>
          <w:color w:val="auto"/>
          <w:sz w:val="32"/>
          <w:szCs w:val="32"/>
          <w:highlight w:val="none"/>
        </w:rPr>
        <w:t>万千瓦、1</w:t>
      </w:r>
      <w:r>
        <w:rPr>
          <w:rFonts w:hint="default" w:ascii="Times New Roman" w:hAnsi="Times New Roman" w:eastAsia="方正仿宋_GBK" w:cs="Times New Roman"/>
          <w:color w:val="auto"/>
          <w:sz w:val="32"/>
          <w:szCs w:val="32"/>
          <w:highlight w:val="none"/>
          <w:lang w:val="en-US" w:eastAsia="zh-CN"/>
        </w:rPr>
        <w:t>8</w:t>
      </w:r>
      <w:r>
        <w:rPr>
          <w:rFonts w:hint="eastAsia" w:ascii="Times New Roman" w:hAnsi="Times New Roman" w:eastAsia="方正仿宋_GBK" w:cs="Times New Roman"/>
          <w:color w:val="auto"/>
          <w:sz w:val="32"/>
          <w:szCs w:val="32"/>
          <w:highlight w:val="none"/>
          <w:lang w:val="en-US" w:eastAsia="zh-CN"/>
        </w:rPr>
        <w:t>6</w:t>
      </w:r>
      <w:r>
        <w:rPr>
          <w:rFonts w:hint="default" w:ascii="Times New Roman" w:hAnsi="Times New Roman" w:eastAsia="方正仿宋_GBK" w:cs="Times New Roman"/>
          <w:color w:val="auto"/>
          <w:sz w:val="32"/>
          <w:szCs w:val="32"/>
          <w:highlight w:val="none"/>
          <w:lang w:val="en-US" w:eastAsia="zh-CN"/>
        </w:rPr>
        <w:t>.</w:t>
      </w:r>
      <w:r>
        <w:rPr>
          <w:rFonts w:hint="eastAsia" w:ascii="Times New Roman" w:hAnsi="Times New Roman" w:eastAsia="方正仿宋_GBK" w:cs="Times New Roman"/>
          <w:color w:val="auto"/>
          <w:sz w:val="32"/>
          <w:szCs w:val="32"/>
          <w:highlight w:val="none"/>
          <w:lang w:val="en-US" w:eastAsia="zh-CN"/>
        </w:rPr>
        <w:t>25</w:t>
      </w:r>
      <w:r>
        <w:rPr>
          <w:rFonts w:hint="default" w:ascii="Times New Roman" w:hAnsi="Times New Roman" w:eastAsia="方正仿宋_GBK" w:cs="Times New Roman"/>
          <w:color w:val="auto"/>
          <w:sz w:val="32"/>
          <w:szCs w:val="32"/>
          <w:highlight w:val="none"/>
        </w:rPr>
        <w:t>万千瓦，超过宿迁地区历史最高负荷30%（17</w:t>
      </w:r>
      <w:r>
        <w:rPr>
          <w:rFonts w:hint="default" w:ascii="Times New Roman" w:hAnsi="Times New Roman" w:eastAsia="方正仿宋_GBK" w:cs="Times New Roman"/>
          <w:color w:val="auto"/>
          <w:sz w:val="32"/>
          <w:szCs w:val="32"/>
          <w:highlight w:val="none"/>
          <w:lang w:val="en-US" w:eastAsia="zh-CN"/>
        </w:rPr>
        <w:t>9.91</w:t>
      </w:r>
      <w:r>
        <w:rPr>
          <w:rFonts w:hint="default" w:ascii="Times New Roman" w:hAnsi="Times New Roman" w:eastAsia="方正仿宋_GBK" w:cs="Times New Roman"/>
          <w:color w:val="auto"/>
          <w:sz w:val="32"/>
          <w:szCs w:val="32"/>
          <w:highlight w:val="none"/>
        </w:rPr>
        <w:t>万千瓦），并留有一定裕度。其中，高耗能行业负荷管理方案客户共计</w:t>
      </w:r>
      <w:r>
        <w:rPr>
          <w:rFonts w:hint="eastAsia" w:ascii="Times New Roman" w:hAnsi="Times New Roman" w:eastAsia="方正仿宋_GBK" w:cs="Times New Roman"/>
          <w:color w:val="auto"/>
          <w:sz w:val="32"/>
          <w:szCs w:val="32"/>
          <w:highlight w:val="none"/>
          <w:lang w:val="en-US" w:eastAsia="zh-CN"/>
        </w:rPr>
        <w:t>269</w:t>
      </w:r>
      <w:r>
        <w:rPr>
          <w:rFonts w:hint="default" w:ascii="Times New Roman" w:hAnsi="Times New Roman" w:eastAsia="方正仿宋_GBK" w:cs="Times New Roman"/>
          <w:color w:val="auto"/>
          <w:sz w:val="32"/>
          <w:szCs w:val="32"/>
          <w:highlight w:val="none"/>
        </w:rPr>
        <w:t>户，早、腰、晚</w:t>
      </w:r>
      <w:r>
        <w:rPr>
          <w:rFonts w:hint="eastAsia" w:ascii="Times New Roman" w:hAnsi="Times New Roman" w:eastAsia="方正仿宋_GBK" w:cs="Times New Roman"/>
          <w:color w:val="auto"/>
          <w:sz w:val="32"/>
          <w:szCs w:val="32"/>
          <w:highlight w:val="none"/>
          <w:lang w:eastAsia="zh-CN"/>
        </w:rPr>
        <w:t>最大可调节负荷</w:t>
      </w:r>
      <w:r>
        <w:rPr>
          <w:rFonts w:hint="default" w:ascii="Times New Roman" w:hAnsi="Times New Roman" w:eastAsia="方正仿宋_GBK" w:cs="Times New Roman"/>
          <w:color w:val="auto"/>
          <w:sz w:val="32"/>
          <w:szCs w:val="32"/>
          <w:highlight w:val="none"/>
        </w:rPr>
        <w:t>分别为</w:t>
      </w:r>
      <w:r>
        <w:rPr>
          <w:rFonts w:hint="default" w:ascii="Times New Roman" w:hAnsi="Times New Roman" w:eastAsia="方正仿宋_GBK" w:cs="Times New Roman"/>
          <w:color w:val="auto"/>
          <w:sz w:val="32"/>
          <w:szCs w:val="32"/>
          <w:highlight w:val="none"/>
          <w:lang w:val="en-US" w:eastAsia="zh-CN"/>
        </w:rPr>
        <w:t>17.</w:t>
      </w:r>
      <w:r>
        <w:rPr>
          <w:rFonts w:hint="eastAsia" w:ascii="Times New Roman" w:hAnsi="Times New Roman" w:eastAsia="方正仿宋_GBK" w:cs="Times New Roman"/>
          <w:color w:val="auto"/>
          <w:sz w:val="32"/>
          <w:szCs w:val="32"/>
          <w:highlight w:val="none"/>
          <w:lang w:val="en-US" w:eastAsia="zh-CN"/>
        </w:rPr>
        <w:t>52</w:t>
      </w:r>
      <w:r>
        <w:rPr>
          <w:rFonts w:hint="default" w:ascii="Times New Roman" w:hAnsi="Times New Roman" w:eastAsia="方正仿宋_GBK" w:cs="Times New Roman"/>
          <w:color w:val="auto"/>
          <w:sz w:val="32"/>
          <w:szCs w:val="32"/>
          <w:highlight w:val="none"/>
        </w:rPr>
        <w:t>万千瓦、2</w:t>
      </w:r>
      <w:r>
        <w:rPr>
          <w:rFonts w:hint="default" w:ascii="Times New Roman" w:hAnsi="Times New Roman" w:eastAsia="方正仿宋_GBK" w:cs="Times New Roman"/>
          <w:color w:val="auto"/>
          <w:sz w:val="32"/>
          <w:szCs w:val="32"/>
          <w:highlight w:val="none"/>
          <w:lang w:val="en-US" w:eastAsia="zh-CN"/>
        </w:rPr>
        <w:t>1.</w:t>
      </w:r>
      <w:r>
        <w:rPr>
          <w:rFonts w:hint="eastAsia" w:ascii="Times New Roman" w:hAnsi="Times New Roman" w:eastAsia="方正仿宋_GBK" w:cs="Times New Roman"/>
          <w:color w:val="auto"/>
          <w:sz w:val="32"/>
          <w:szCs w:val="32"/>
          <w:highlight w:val="none"/>
          <w:lang w:val="en-US" w:eastAsia="zh-CN"/>
        </w:rPr>
        <w:t>01</w:t>
      </w:r>
      <w:r>
        <w:rPr>
          <w:rFonts w:hint="default" w:ascii="Times New Roman" w:hAnsi="Times New Roman" w:eastAsia="方正仿宋_GBK" w:cs="Times New Roman"/>
          <w:color w:val="auto"/>
          <w:sz w:val="32"/>
          <w:szCs w:val="32"/>
          <w:highlight w:val="none"/>
        </w:rPr>
        <w:t>万千瓦、</w:t>
      </w:r>
      <w:r>
        <w:rPr>
          <w:rFonts w:hint="default" w:ascii="Times New Roman" w:hAnsi="Times New Roman" w:eastAsia="方正仿宋_GBK" w:cs="Times New Roman"/>
          <w:color w:val="auto"/>
          <w:sz w:val="32"/>
          <w:szCs w:val="32"/>
          <w:highlight w:val="none"/>
          <w:lang w:val="en-US" w:eastAsia="zh-CN"/>
        </w:rPr>
        <w:t>17.0</w:t>
      </w:r>
      <w:r>
        <w:rPr>
          <w:rFonts w:hint="eastAsia" w:ascii="Times New Roman" w:hAnsi="Times New Roman" w:eastAsia="方正仿宋_GBK" w:cs="Times New Roman"/>
          <w:color w:val="auto"/>
          <w:sz w:val="32"/>
          <w:szCs w:val="32"/>
          <w:highlight w:val="none"/>
          <w:lang w:val="en-US" w:eastAsia="zh-CN"/>
        </w:rPr>
        <w:t>1</w:t>
      </w:r>
      <w:r>
        <w:rPr>
          <w:rFonts w:hint="default" w:ascii="Times New Roman" w:hAnsi="Times New Roman" w:eastAsia="方正仿宋_GBK" w:cs="Times New Roman"/>
          <w:color w:val="auto"/>
          <w:sz w:val="32"/>
          <w:szCs w:val="32"/>
          <w:highlight w:val="none"/>
        </w:rPr>
        <w:t>万千瓦；其他工业企业精准调控方案共计涉及客户</w:t>
      </w:r>
      <w:r>
        <w:rPr>
          <w:rFonts w:hint="eastAsia" w:ascii="Times New Roman" w:hAnsi="Times New Roman" w:eastAsia="方正仿宋_GBK" w:cs="Times New Roman"/>
          <w:color w:val="auto"/>
          <w:sz w:val="32"/>
          <w:szCs w:val="32"/>
          <w:highlight w:val="none"/>
          <w:lang w:val="en-US" w:eastAsia="zh-CN"/>
        </w:rPr>
        <w:t>7113</w:t>
      </w:r>
      <w:r>
        <w:rPr>
          <w:rFonts w:hint="default" w:ascii="Times New Roman" w:hAnsi="Times New Roman" w:eastAsia="方正仿宋_GBK" w:cs="Times New Roman"/>
          <w:color w:val="auto"/>
          <w:sz w:val="32"/>
          <w:szCs w:val="32"/>
          <w:highlight w:val="none"/>
        </w:rPr>
        <w:t>户，早、腰、晚最大</w:t>
      </w:r>
      <w:r>
        <w:rPr>
          <w:rFonts w:hint="default" w:ascii="Times New Roman" w:hAnsi="Times New Roman" w:eastAsia="方正仿宋_GBK" w:cs="Times New Roman"/>
          <w:color w:val="auto"/>
          <w:sz w:val="32"/>
          <w:szCs w:val="32"/>
          <w:highlight w:val="none"/>
          <w:lang w:eastAsia="zh-CN"/>
        </w:rPr>
        <w:t>可调节负荷</w:t>
      </w:r>
      <w:r>
        <w:rPr>
          <w:rFonts w:hint="default" w:ascii="Times New Roman" w:hAnsi="Times New Roman" w:eastAsia="方正仿宋_GBK" w:cs="Times New Roman"/>
          <w:color w:val="auto"/>
          <w:sz w:val="32"/>
          <w:szCs w:val="32"/>
          <w:highlight w:val="none"/>
        </w:rPr>
        <w:t>分别为</w:t>
      </w:r>
      <w:r>
        <w:rPr>
          <w:rFonts w:hint="eastAsia" w:ascii="Times New Roman" w:hAnsi="Times New Roman" w:eastAsia="方正仿宋_GBK" w:cs="Times New Roman"/>
          <w:color w:val="auto"/>
          <w:sz w:val="32"/>
          <w:szCs w:val="32"/>
          <w:highlight w:val="none"/>
          <w:lang w:val="en-US" w:eastAsia="zh-CN"/>
        </w:rPr>
        <w:t>169.66</w:t>
      </w:r>
      <w:r>
        <w:rPr>
          <w:rFonts w:hint="default" w:ascii="Times New Roman" w:hAnsi="Times New Roman" w:eastAsia="方正仿宋_GBK" w:cs="Times New Roman"/>
          <w:color w:val="auto"/>
          <w:sz w:val="32"/>
          <w:szCs w:val="32"/>
          <w:highlight w:val="none"/>
        </w:rPr>
        <w:t>万千瓦、1</w:t>
      </w:r>
      <w:r>
        <w:rPr>
          <w:rFonts w:hint="default" w:ascii="Times New Roman" w:hAnsi="Times New Roman" w:eastAsia="方正仿宋_GBK" w:cs="Times New Roman"/>
          <w:color w:val="auto"/>
          <w:sz w:val="32"/>
          <w:szCs w:val="32"/>
          <w:highlight w:val="none"/>
          <w:lang w:val="en-US" w:eastAsia="zh-CN"/>
        </w:rPr>
        <w:t>6</w:t>
      </w:r>
      <w:r>
        <w:rPr>
          <w:rFonts w:hint="eastAsia" w:ascii="Times New Roman" w:hAnsi="Times New Roman" w:eastAsia="方正仿宋_GBK" w:cs="Times New Roman"/>
          <w:color w:val="auto"/>
          <w:sz w:val="32"/>
          <w:szCs w:val="32"/>
          <w:highlight w:val="none"/>
          <w:lang w:val="en-US" w:eastAsia="zh-CN"/>
        </w:rPr>
        <w:t>4.59</w:t>
      </w:r>
      <w:r>
        <w:rPr>
          <w:rFonts w:hint="default" w:ascii="Times New Roman" w:hAnsi="Times New Roman" w:eastAsia="方正仿宋_GBK" w:cs="Times New Roman"/>
          <w:color w:val="auto"/>
          <w:sz w:val="32"/>
          <w:szCs w:val="32"/>
          <w:highlight w:val="none"/>
        </w:rPr>
        <w:t>万千瓦、1</w:t>
      </w:r>
      <w:r>
        <w:rPr>
          <w:rFonts w:hint="default" w:ascii="Times New Roman" w:hAnsi="Times New Roman" w:eastAsia="方正仿宋_GBK" w:cs="Times New Roman"/>
          <w:color w:val="auto"/>
          <w:sz w:val="32"/>
          <w:szCs w:val="32"/>
          <w:highlight w:val="none"/>
          <w:lang w:val="en-US" w:eastAsia="zh-CN"/>
        </w:rPr>
        <w:t>6</w:t>
      </w:r>
      <w:r>
        <w:rPr>
          <w:rFonts w:hint="eastAsia" w:ascii="Times New Roman" w:hAnsi="Times New Roman" w:eastAsia="方正仿宋_GBK" w:cs="Times New Roman"/>
          <w:color w:val="auto"/>
          <w:sz w:val="32"/>
          <w:szCs w:val="32"/>
          <w:highlight w:val="none"/>
          <w:lang w:val="en-US" w:eastAsia="zh-CN"/>
        </w:rPr>
        <w:t>1.72</w:t>
      </w:r>
      <w:r>
        <w:rPr>
          <w:rFonts w:hint="default" w:ascii="Times New Roman" w:hAnsi="Times New Roman" w:eastAsia="方正仿宋_GBK" w:cs="Times New Roman"/>
          <w:color w:val="auto"/>
          <w:sz w:val="32"/>
          <w:szCs w:val="32"/>
          <w:highlight w:val="none"/>
        </w:rPr>
        <w:t>万千瓦；非工业用户柔性调控方案共涉及客户1</w:t>
      </w:r>
      <w:r>
        <w:rPr>
          <w:rFonts w:hint="eastAsia" w:ascii="Times New Roman" w:hAnsi="Times New Roman" w:eastAsia="方正仿宋_GBK" w:cs="Times New Roman"/>
          <w:color w:val="auto"/>
          <w:sz w:val="32"/>
          <w:szCs w:val="32"/>
          <w:highlight w:val="none"/>
          <w:lang w:val="en-US" w:eastAsia="zh-CN"/>
        </w:rPr>
        <w:t>371</w:t>
      </w:r>
      <w:r>
        <w:rPr>
          <w:rFonts w:hint="default" w:ascii="Times New Roman" w:hAnsi="Times New Roman" w:eastAsia="方正仿宋_GBK" w:cs="Times New Roman"/>
          <w:color w:val="auto"/>
          <w:sz w:val="32"/>
          <w:szCs w:val="32"/>
          <w:highlight w:val="none"/>
        </w:rPr>
        <w:t>户，早、腰、晚最大柔性可调负荷分别为1</w:t>
      </w:r>
      <w:r>
        <w:rPr>
          <w:rFonts w:hint="eastAsia" w:ascii="Times New Roman" w:hAnsi="Times New Roman" w:eastAsia="方正仿宋_GBK" w:cs="Times New Roman"/>
          <w:color w:val="auto"/>
          <w:sz w:val="32"/>
          <w:szCs w:val="32"/>
          <w:highlight w:val="none"/>
          <w:lang w:val="en-US" w:eastAsia="zh-CN"/>
        </w:rPr>
        <w:t>0.42</w:t>
      </w:r>
      <w:r>
        <w:rPr>
          <w:rFonts w:hint="default" w:ascii="Times New Roman" w:hAnsi="Times New Roman" w:eastAsia="方正仿宋_GBK" w:cs="Times New Roman"/>
          <w:color w:val="auto"/>
          <w:sz w:val="32"/>
          <w:szCs w:val="32"/>
          <w:highlight w:val="none"/>
        </w:rPr>
        <w:t>万千瓦、</w:t>
      </w:r>
      <w:r>
        <w:rPr>
          <w:rFonts w:hint="eastAsia" w:ascii="Times New Roman" w:hAnsi="Times New Roman" w:eastAsia="方正仿宋_GBK" w:cs="Times New Roman"/>
          <w:color w:val="auto"/>
          <w:sz w:val="32"/>
          <w:szCs w:val="32"/>
          <w:highlight w:val="none"/>
          <w:lang w:val="en-US" w:eastAsia="zh-CN"/>
        </w:rPr>
        <w:t>9.77</w:t>
      </w:r>
      <w:r>
        <w:rPr>
          <w:rFonts w:hint="default" w:ascii="Times New Roman" w:hAnsi="Times New Roman" w:eastAsia="方正仿宋_GBK" w:cs="Times New Roman"/>
          <w:color w:val="auto"/>
          <w:sz w:val="32"/>
          <w:szCs w:val="32"/>
          <w:highlight w:val="none"/>
        </w:rPr>
        <w:t>万千瓦、</w:t>
      </w:r>
      <w:r>
        <w:rPr>
          <w:rFonts w:hint="eastAsia" w:ascii="Times New Roman" w:hAnsi="Times New Roman" w:eastAsia="方正仿宋_GBK" w:cs="Times New Roman"/>
          <w:color w:val="auto"/>
          <w:sz w:val="32"/>
          <w:szCs w:val="32"/>
          <w:highlight w:val="none"/>
          <w:lang w:val="en-US" w:eastAsia="zh-CN"/>
        </w:rPr>
        <w:t>7.51</w:t>
      </w:r>
      <w:r>
        <w:rPr>
          <w:rFonts w:hint="default" w:ascii="Times New Roman" w:hAnsi="Times New Roman" w:eastAsia="方正仿宋_GBK" w:cs="Times New Roman"/>
          <w:color w:val="auto"/>
          <w:sz w:val="32"/>
          <w:szCs w:val="32"/>
          <w:highlight w:val="none"/>
        </w:rPr>
        <w:t>万千瓦。</w:t>
      </w:r>
    </w:p>
    <w:p>
      <w:pPr>
        <w:pStyle w:val="5"/>
        <w:pageBreakBefore w:val="0"/>
        <w:widowControl w:val="0"/>
        <w:kinsoku/>
        <w:wordWrap/>
        <w:overflowPunct/>
        <w:topLinePunct w:val="0"/>
        <w:autoSpaceDE/>
        <w:autoSpaceDN/>
        <w:bidi w:val="0"/>
        <w:adjustRightInd/>
        <w:snapToGrid/>
        <w:spacing w:before="0" w:after="0"/>
        <w:ind w:firstLine="640"/>
        <w:textAlignment w:val="auto"/>
        <w:rPr>
          <w:rFonts w:hint="default" w:ascii="Times New Roman" w:hAnsi="Times New Roman" w:eastAsia="方正仿宋_GBK" w:cs="Times New Roman"/>
          <w:color w:val="auto"/>
          <w:sz w:val="32"/>
          <w:szCs w:val="32"/>
          <w:highlight w:val="none"/>
        </w:rPr>
      </w:pPr>
      <w:bookmarkStart w:id="89" w:name="_Toc24432"/>
      <w:bookmarkStart w:id="90" w:name="_Toc26619"/>
      <w:r>
        <w:rPr>
          <w:rFonts w:hint="default" w:ascii="Times New Roman" w:hAnsi="Times New Roman" w:eastAsia="方正仿宋_GBK" w:cs="Times New Roman"/>
          <w:color w:val="auto"/>
          <w:sz w:val="32"/>
          <w:szCs w:val="32"/>
          <w:highlight w:val="none"/>
        </w:rPr>
        <w:t>4.2  主体方案概述</w:t>
      </w:r>
      <w:bookmarkEnd w:id="89"/>
      <w:bookmarkEnd w:id="90"/>
    </w:p>
    <w:p>
      <w:pPr>
        <w:pStyle w:val="5"/>
        <w:pageBreakBefore w:val="0"/>
        <w:widowControl w:val="0"/>
        <w:kinsoku/>
        <w:wordWrap/>
        <w:overflowPunct/>
        <w:topLinePunct w:val="0"/>
        <w:autoSpaceDE/>
        <w:autoSpaceDN/>
        <w:bidi w:val="0"/>
        <w:adjustRightInd/>
        <w:snapToGrid/>
        <w:spacing w:before="0" w:after="0"/>
        <w:ind w:firstLine="640"/>
        <w:textAlignment w:val="auto"/>
        <w:rPr>
          <w:rFonts w:hint="default" w:ascii="Times New Roman" w:hAnsi="Times New Roman" w:eastAsia="方正仿宋_GBK" w:cs="Times New Roman"/>
          <w:color w:val="auto"/>
          <w:sz w:val="32"/>
          <w:szCs w:val="32"/>
          <w:highlight w:val="none"/>
        </w:rPr>
      </w:pPr>
      <w:bookmarkStart w:id="91" w:name="_Toc3603"/>
      <w:r>
        <w:rPr>
          <w:rFonts w:hint="default" w:ascii="Times New Roman" w:hAnsi="Times New Roman" w:eastAsia="方正仿宋_GBK" w:cs="Times New Roman"/>
          <w:color w:val="auto"/>
          <w:sz w:val="32"/>
          <w:szCs w:val="32"/>
          <w:highlight w:val="none"/>
        </w:rPr>
        <w:t>4.2.1  三个子方案概述</w:t>
      </w:r>
      <w:bookmarkEnd w:id="91"/>
    </w:p>
    <w:p>
      <w:pPr>
        <w:pageBreakBefore w:val="0"/>
        <w:widowControl w:val="0"/>
        <w:kinsoku/>
        <w:wordWrap/>
        <w:overflowPunct/>
        <w:topLinePunct w:val="0"/>
        <w:autoSpaceDE/>
        <w:autoSpaceDN/>
        <w:bidi w:val="0"/>
        <w:adjustRightInd/>
        <w:snapToGrid/>
        <w:ind w:firstLine="640"/>
        <w:textAlignment w:val="auto"/>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1.高耗能子方案</w:t>
      </w:r>
    </w:p>
    <w:p>
      <w:pPr>
        <w:pageBreakBefore w:val="0"/>
        <w:widowControl w:val="0"/>
        <w:kinsoku/>
        <w:wordWrap/>
        <w:overflowPunct/>
        <w:topLinePunct w:val="0"/>
        <w:autoSpaceDE/>
        <w:autoSpaceDN/>
        <w:bidi w:val="0"/>
        <w:adjustRightInd/>
        <w:snapToGrid/>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根据省发改委要求，将属于石油、煤炭及其他燃料加工业、化学原料和化学品制造业、非金属矿物制品业、黑色及有色金属冶炼和压延加工业等五个高耗能行业的用户全部纳入高耗能行业负荷管理子方案。在启动总体方案执行时优先启动高耗能企业负荷管理，若</w:t>
      </w:r>
      <w:r>
        <w:rPr>
          <w:rFonts w:hint="default" w:ascii="Times New Roman" w:hAnsi="Times New Roman" w:eastAsia="方正仿宋_GBK" w:cs="Times New Roman"/>
          <w:color w:val="auto"/>
          <w:sz w:val="32"/>
          <w:szCs w:val="32"/>
          <w:highlight w:val="none"/>
          <w:lang w:eastAsia="zh-CN"/>
        </w:rPr>
        <w:t>电力缺口</w:t>
      </w:r>
      <w:r>
        <w:rPr>
          <w:rFonts w:hint="default" w:ascii="Times New Roman" w:hAnsi="Times New Roman" w:eastAsia="方正仿宋_GBK" w:cs="Times New Roman"/>
          <w:color w:val="auto"/>
          <w:sz w:val="32"/>
          <w:szCs w:val="32"/>
          <w:highlight w:val="none"/>
        </w:rPr>
        <w:t>小于高耗能企业总体最大可调负荷，负荷管理的实施范围原则上应全部为高耗能企业。按照政府部门提供的高耗能企业清单，经过匹配后，宿迁地区共涉及用户</w:t>
      </w:r>
      <w:r>
        <w:rPr>
          <w:rFonts w:hint="eastAsia" w:ascii="Times New Roman" w:hAnsi="Times New Roman" w:eastAsia="方正仿宋_GBK" w:cs="Times New Roman"/>
          <w:color w:val="auto"/>
          <w:sz w:val="32"/>
          <w:szCs w:val="32"/>
          <w:highlight w:val="none"/>
          <w:lang w:val="en-US" w:eastAsia="zh-CN"/>
        </w:rPr>
        <w:t>269</w:t>
      </w:r>
      <w:r>
        <w:rPr>
          <w:rFonts w:hint="default" w:ascii="Times New Roman" w:hAnsi="Times New Roman" w:eastAsia="方正仿宋_GBK" w:cs="Times New Roman"/>
          <w:color w:val="auto"/>
          <w:sz w:val="32"/>
          <w:szCs w:val="32"/>
          <w:highlight w:val="none"/>
        </w:rPr>
        <w:t>户，</w:t>
      </w:r>
      <w:r>
        <w:rPr>
          <w:rFonts w:hint="eastAsia" w:ascii="Times New Roman" w:hAnsi="Times New Roman" w:eastAsia="方正仿宋_GBK" w:cs="Times New Roman"/>
          <w:color w:val="auto"/>
          <w:sz w:val="32"/>
          <w:szCs w:val="32"/>
          <w:highlight w:val="none"/>
          <w:lang w:eastAsia="zh"/>
        </w:rPr>
        <w:t>腰</w:t>
      </w:r>
      <w:r>
        <w:rPr>
          <w:rFonts w:hint="default" w:ascii="Times New Roman" w:hAnsi="Times New Roman" w:eastAsia="方正仿宋_GBK" w:cs="Times New Roman"/>
          <w:color w:val="auto"/>
          <w:sz w:val="32"/>
          <w:szCs w:val="32"/>
          <w:highlight w:val="none"/>
        </w:rPr>
        <w:t>峰</w:t>
      </w:r>
      <w:r>
        <w:rPr>
          <w:rFonts w:hint="eastAsia" w:ascii="Times New Roman" w:hAnsi="Times New Roman" w:eastAsia="方正仿宋_GBK" w:cs="Times New Roman"/>
          <w:color w:val="auto"/>
          <w:sz w:val="32"/>
          <w:szCs w:val="32"/>
          <w:highlight w:val="none"/>
          <w:lang w:eastAsia="zh-CN"/>
        </w:rPr>
        <w:t>最大可调负荷</w:t>
      </w:r>
      <w:r>
        <w:rPr>
          <w:rFonts w:hint="eastAsia" w:ascii="Times New Roman" w:hAnsi="Times New Roman" w:eastAsia="方正仿宋_GBK" w:cs="Times New Roman"/>
          <w:color w:val="auto"/>
          <w:sz w:val="32"/>
          <w:szCs w:val="32"/>
          <w:highlight w:val="none"/>
          <w:lang w:eastAsia="zh"/>
        </w:rPr>
        <w:t>21.</w:t>
      </w:r>
      <w:r>
        <w:rPr>
          <w:rFonts w:hint="eastAsia" w:ascii="Times New Roman" w:hAnsi="Times New Roman" w:eastAsia="方正仿宋_GBK" w:cs="Times New Roman"/>
          <w:color w:val="auto"/>
          <w:sz w:val="32"/>
          <w:szCs w:val="32"/>
          <w:highlight w:val="none"/>
          <w:lang w:val="en-US" w:eastAsia="zh-CN"/>
        </w:rPr>
        <w:t>01</w:t>
      </w:r>
      <w:r>
        <w:rPr>
          <w:rFonts w:hint="default" w:ascii="Times New Roman" w:hAnsi="Times New Roman" w:eastAsia="方正仿宋_GBK" w:cs="Times New Roman"/>
          <w:color w:val="auto"/>
          <w:sz w:val="32"/>
          <w:szCs w:val="32"/>
          <w:highlight w:val="none"/>
        </w:rPr>
        <w:t>万千瓦。其中，运河港配售电公司用户10户，</w:t>
      </w:r>
      <w:r>
        <w:rPr>
          <w:rFonts w:hint="eastAsia" w:ascii="Times New Roman" w:hAnsi="Times New Roman" w:eastAsia="方正仿宋_GBK" w:cs="Times New Roman"/>
          <w:color w:val="auto"/>
          <w:sz w:val="32"/>
          <w:szCs w:val="32"/>
          <w:highlight w:val="none"/>
          <w:lang w:eastAsia="zh"/>
        </w:rPr>
        <w:t>腰</w:t>
      </w:r>
      <w:r>
        <w:rPr>
          <w:rFonts w:hint="default" w:ascii="Times New Roman" w:hAnsi="Times New Roman" w:eastAsia="方正仿宋_GBK" w:cs="Times New Roman"/>
          <w:color w:val="auto"/>
          <w:sz w:val="32"/>
          <w:szCs w:val="32"/>
          <w:highlight w:val="none"/>
        </w:rPr>
        <w:t>峰</w:t>
      </w:r>
      <w:r>
        <w:rPr>
          <w:rFonts w:hint="eastAsia" w:ascii="Times New Roman" w:hAnsi="Times New Roman" w:eastAsia="方正仿宋_GBK" w:cs="Times New Roman"/>
          <w:color w:val="auto"/>
          <w:sz w:val="32"/>
          <w:szCs w:val="32"/>
          <w:highlight w:val="none"/>
          <w:lang w:eastAsia="zh-CN"/>
        </w:rPr>
        <w:t>最大可调负荷</w:t>
      </w:r>
      <w:r>
        <w:rPr>
          <w:rFonts w:hint="eastAsia" w:ascii="Times New Roman" w:hAnsi="Times New Roman" w:eastAsia="方正仿宋_GBK" w:cs="Times New Roman"/>
          <w:color w:val="auto"/>
          <w:sz w:val="32"/>
          <w:szCs w:val="32"/>
          <w:highlight w:val="none"/>
          <w:lang w:eastAsia="zh"/>
        </w:rPr>
        <w:t>1.34</w:t>
      </w:r>
      <w:r>
        <w:rPr>
          <w:rFonts w:hint="default" w:ascii="Times New Roman" w:hAnsi="Times New Roman" w:eastAsia="方正仿宋_GBK" w:cs="Times New Roman"/>
          <w:color w:val="auto"/>
          <w:sz w:val="32"/>
          <w:szCs w:val="32"/>
          <w:highlight w:val="none"/>
        </w:rPr>
        <w:t>万千瓦。</w:t>
      </w:r>
    </w:p>
    <w:p>
      <w:pPr>
        <w:pStyle w:val="22"/>
        <w:keepNext/>
        <w:keepLines/>
        <w:pageBreakBefore w:val="0"/>
        <w:widowControl w:val="0"/>
        <w:kinsoku/>
        <w:wordWrap/>
        <w:overflowPunct/>
        <w:topLinePunct w:val="0"/>
        <w:autoSpaceDE/>
        <w:autoSpaceDN/>
        <w:bidi w:val="0"/>
        <w:adjustRightInd/>
        <w:snapToGrid/>
        <w:spacing w:before="0" w:beforeLines="0" w:after="0" w:afterLines="0"/>
        <w:textAlignment w:val="auto"/>
        <w:rPr>
          <w:rFonts w:hint="default" w:ascii="Times New Roman" w:hAnsi="Times New Roman" w:eastAsia="黑体" w:cs="Times New Roman"/>
          <w:b w:val="0"/>
          <w:bCs/>
          <w:color w:val="auto"/>
          <w:sz w:val="21"/>
          <w:szCs w:val="21"/>
          <w:highlight w:val="none"/>
        </w:rPr>
      </w:pPr>
      <w:bookmarkStart w:id="92" w:name="_Toc5115"/>
      <w:r>
        <w:rPr>
          <w:rFonts w:hint="default" w:ascii="Times New Roman" w:hAnsi="Times New Roman" w:eastAsia="黑体" w:cs="Times New Roman"/>
          <w:b w:val="0"/>
          <w:bCs/>
          <w:color w:val="auto"/>
          <w:sz w:val="21"/>
          <w:szCs w:val="21"/>
          <w:highlight w:val="none"/>
        </w:rPr>
        <w:t>表7：高耗能子方案分行业统计表</w:t>
      </w:r>
      <w:bookmarkEnd w:id="92"/>
    </w:p>
    <w:p>
      <w:pPr>
        <w:pStyle w:val="2"/>
        <w:pBdr>
          <w:top w:val="none" w:color="auto" w:sz="0" w:space="0"/>
          <w:left w:val="none" w:color="auto" w:sz="0" w:space="0"/>
          <w:bottom w:val="none" w:color="auto" w:sz="0" w:space="0"/>
          <w:right w:val="none" w:color="auto" w:sz="0" w:space="0"/>
          <w:between w:val="none" w:color="auto" w:sz="0" w:space="0"/>
        </w:pBdr>
        <w:ind w:firstLine="482"/>
        <w:jc w:val="right"/>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单位：户、万千瓦</w:t>
      </w:r>
    </w:p>
    <w:tbl>
      <w:tblPr>
        <w:tblStyle w:val="13"/>
        <w:tblW w:w="9172" w:type="dxa"/>
        <w:jc w:val="center"/>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16"/>
        <w:gridCol w:w="717"/>
        <w:gridCol w:w="810"/>
        <w:gridCol w:w="561"/>
        <w:gridCol w:w="865"/>
        <w:gridCol w:w="532"/>
        <w:gridCol w:w="817"/>
        <w:gridCol w:w="574"/>
        <w:gridCol w:w="746"/>
        <w:gridCol w:w="546"/>
        <w:gridCol w:w="841"/>
        <w:gridCol w:w="546"/>
        <w:gridCol w:w="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46" w:hRule="atLeast"/>
          <w:tblCellSpacing w:w="0" w:type="dxa"/>
          <w:jc w:val="center"/>
        </w:trPr>
        <w:tc>
          <w:tcPr>
            <w:tcW w:w="816" w:type="dxa"/>
            <w:vMerge w:val="restart"/>
            <w:tcBorders>
              <w:tl2br w:val="nil"/>
              <w:tr2bl w:val="nil"/>
            </w:tcBorders>
            <w:tcMar>
              <w:left w:w="108" w:type="dxa"/>
              <w:right w:w="108" w:type="dxa"/>
            </w:tcMar>
            <w:vAlign w:val="center"/>
          </w:tcPr>
          <w:p>
            <w:pPr>
              <w:pStyle w:val="23"/>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单位</w:t>
            </w:r>
          </w:p>
        </w:tc>
        <w:tc>
          <w:tcPr>
            <w:tcW w:w="1527" w:type="dxa"/>
            <w:gridSpan w:val="2"/>
            <w:tcBorders>
              <w:tl2br w:val="nil"/>
              <w:tr2bl w:val="nil"/>
            </w:tcBorders>
            <w:tcMar>
              <w:left w:w="108" w:type="dxa"/>
              <w:right w:w="108" w:type="dxa"/>
            </w:tcMar>
            <w:vAlign w:val="center"/>
          </w:tcPr>
          <w:p>
            <w:pPr>
              <w:pStyle w:val="23"/>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合计</w:t>
            </w:r>
          </w:p>
        </w:tc>
        <w:tc>
          <w:tcPr>
            <w:tcW w:w="1426" w:type="dxa"/>
            <w:gridSpan w:val="2"/>
            <w:tcBorders>
              <w:tl2br w:val="nil"/>
              <w:tr2bl w:val="nil"/>
            </w:tcBorders>
            <w:tcMar>
              <w:left w:w="108" w:type="dxa"/>
              <w:right w:w="108" w:type="dxa"/>
            </w:tcMar>
            <w:vAlign w:val="center"/>
          </w:tcPr>
          <w:p>
            <w:pPr>
              <w:pStyle w:val="23"/>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石油、煤炭及其他燃料加工业</w:t>
            </w:r>
          </w:p>
        </w:tc>
        <w:tc>
          <w:tcPr>
            <w:tcW w:w="1349" w:type="dxa"/>
            <w:gridSpan w:val="2"/>
            <w:tcBorders>
              <w:tl2br w:val="nil"/>
              <w:tr2bl w:val="nil"/>
            </w:tcBorders>
            <w:tcMar>
              <w:left w:w="108" w:type="dxa"/>
              <w:right w:w="108" w:type="dxa"/>
            </w:tcMar>
            <w:vAlign w:val="center"/>
          </w:tcPr>
          <w:p>
            <w:pPr>
              <w:pStyle w:val="23"/>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化学原料和化学品制造业</w:t>
            </w:r>
          </w:p>
        </w:tc>
        <w:tc>
          <w:tcPr>
            <w:tcW w:w="1320" w:type="dxa"/>
            <w:gridSpan w:val="2"/>
            <w:tcBorders>
              <w:tl2br w:val="nil"/>
              <w:tr2bl w:val="nil"/>
            </w:tcBorders>
            <w:tcMar>
              <w:left w:w="108" w:type="dxa"/>
              <w:right w:w="108" w:type="dxa"/>
            </w:tcMar>
            <w:vAlign w:val="center"/>
          </w:tcPr>
          <w:p>
            <w:pPr>
              <w:pStyle w:val="23"/>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非金属矿物制品业</w:t>
            </w:r>
          </w:p>
        </w:tc>
        <w:tc>
          <w:tcPr>
            <w:tcW w:w="1387" w:type="dxa"/>
            <w:gridSpan w:val="2"/>
            <w:tcBorders>
              <w:tl2br w:val="nil"/>
              <w:tr2bl w:val="nil"/>
            </w:tcBorders>
            <w:tcMar>
              <w:left w:w="108" w:type="dxa"/>
              <w:right w:w="108" w:type="dxa"/>
            </w:tcMar>
            <w:vAlign w:val="center"/>
          </w:tcPr>
          <w:p>
            <w:pPr>
              <w:pStyle w:val="23"/>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黑色金属冶炼和压延加工业</w:t>
            </w:r>
          </w:p>
        </w:tc>
        <w:tc>
          <w:tcPr>
            <w:tcW w:w="1347" w:type="dxa"/>
            <w:gridSpan w:val="2"/>
            <w:tcBorders>
              <w:tl2br w:val="nil"/>
              <w:tr2bl w:val="nil"/>
            </w:tcBorders>
            <w:tcMar>
              <w:left w:w="108" w:type="dxa"/>
              <w:right w:w="108" w:type="dxa"/>
            </w:tcMar>
            <w:vAlign w:val="center"/>
          </w:tcPr>
          <w:p>
            <w:pPr>
              <w:pStyle w:val="23"/>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有色金属冶炼和压延加工业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3" w:hRule="atLeast"/>
          <w:tblCellSpacing w:w="0" w:type="dxa"/>
          <w:jc w:val="center"/>
        </w:trPr>
        <w:tc>
          <w:tcPr>
            <w:tcW w:w="816" w:type="dxa"/>
            <w:vMerge w:val="continue"/>
            <w:tcBorders>
              <w:tl2br w:val="nil"/>
              <w:tr2bl w:val="nil"/>
            </w:tcBorders>
            <w:tcMar>
              <w:left w:w="108" w:type="dxa"/>
              <w:right w:w="108" w:type="dxa"/>
            </w:tcMar>
            <w:vAlign w:val="center"/>
          </w:tcPr>
          <w:p>
            <w:pPr>
              <w:pStyle w:val="23"/>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bCs/>
                <w:color w:val="auto"/>
                <w:sz w:val="21"/>
                <w:szCs w:val="21"/>
                <w:highlight w:val="none"/>
              </w:rPr>
            </w:pPr>
          </w:p>
        </w:tc>
        <w:tc>
          <w:tcPr>
            <w:tcW w:w="717" w:type="dxa"/>
            <w:tcBorders>
              <w:tl2br w:val="nil"/>
              <w:tr2bl w:val="nil"/>
            </w:tcBorders>
            <w:tcMar>
              <w:left w:w="108" w:type="dxa"/>
              <w:right w:w="108" w:type="dxa"/>
            </w:tcMar>
            <w:vAlign w:val="center"/>
          </w:tcPr>
          <w:p>
            <w:pPr>
              <w:pStyle w:val="23"/>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户数</w:t>
            </w:r>
          </w:p>
        </w:tc>
        <w:tc>
          <w:tcPr>
            <w:tcW w:w="810" w:type="dxa"/>
            <w:tcBorders>
              <w:tl2br w:val="nil"/>
              <w:tr2bl w:val="nil"/>
            </w:tcBorders>
            <w:tcMar>
              <w:left w:w="108" w:type="dxa"/>
              <w:right w:w="108" w:type="dxa"/>
            </w:tcMar>
            <w:vAlign w:val="center"/>
          </w:tcPr>
          <w:p>
            <w:pPr>
              <w:pStyle w:val="23"/>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bCs/>
                <w:color w:val="auto"/>
                <w:sz w:val="21"/>
                <w:szCs w:val="21"/>
                <w:highlight w:val="none"/>
              </w:rPr>
            </w:pPr>
            <w:r>
              <w:rPr>
                <w:rFonts w:hint="eastAsia" w:ascii="Times New Roman" w:hAnsi="Times New Roman" w:eastAsia="方正仿宋_GBK" w:cs="Times New Roman"/>
                <w:b/>
                <w:bCs/>
                <w:color w:val="auto"/>
                <w:sz w:val="21"/>
                <w:szCs w:val="21"/>
                <w:highlight w:val="none"/>
                <w:lang w:eastAsia="zh"/>
              </w:rPr>
              <w:t>腰峰</w:t>
            </w:r>
            <w:r>
              <w:rPr>
                <w:rFonts w:hint="eastAsia" w:ascii="Times New Roman" w:hAnsi="Times New Roman" w:eastAsia="方正仿宋_GBK" w:cs="Times New Roman"/>
                <w:b/>
                <w:bCs/>
                <w:color w:val="auto"/>
                <w:sz w:val="21"/>
                <w:szCs w:val="21"/>
                <w:highlight w:val="none"/>
                <w:lang w:val="en-US" w:eastAsia="zh-CN"/>
              </w:rPr>
              <w:t>最大</w:t>
            </w:r>
            <w:r>
              <w:rPr>
                <w:rFonts w:hint="default" w:ascii="Times New Roman" w:hAnsi="Times New Roman" w:eastAsia="方正仿宋_GBK" w:cs="Times New Roman"/>
                <w:b/>
                <w:bCs/>
                <w:color w:val="auto"/>
                <w:sz w:val="21"/>
                <w:szCs w:val="21"/>
                <w:highlight w:val="none"/>
              </w:rPr>
              <w:t>可调</w:t>
            </w:r>
          </w:p>
          <w:p>
            <w:pPr>
              <w:pStyle w:val="23"/>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负荷</w:t>
            </w:r>
          </w:p>
        </w:tc>
        <w:tc>
          <w:tcPr>
            <w:tcW w:w="561" w:type="dxa"/>
            <w:tcBorders>
              <w:tl2br w:val="nil"/>
              <w:tr2bl w:val="nil"/>
            </w:tcBorders>
            <w:tcMar>
              <w:left w:w="108" w:type="dxa"/>
              <w:right w:w="108" w:type="dxa"/>
            </w:tcMar>
            <w:vAlign w:val="center"/>
          </w:tcPr>
          <w:p>
            <w:pPr>
              <w:pStyle w:val="23"/>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户数</w:t>
            </w:r>
          </w:p>
        </w:tc>
        <w:tc>
          <w:tcPr>
            <w:tcW w:w="865" w:type="dxa"/>
            <w:tcBorders>
              <w:tl2br w:val="nil"/>
              <w:tr2bl w:val="nil"/>
            </w:tcBorders>
            <w:tcMar>
              <w:left w:w="108" w:type="dxa"/>
              <w:right w:w="108" w:type="dxa"/>
            </w:tcMar>
            <w:vAlign w:val="center"/>
          </w:tcPr>
          <w:p>
            <w:pPr>
              <w:pStyle w:val="23"/>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bCs/>
                <w:color w:val="auto"/>
                <w:sz w:val="21"/>
                <w:szCs w:val="21"/>
                <w:highlight w:val="none"/>
              </w:rPr>
            </w:pPr>
            <w:r>
              <w:rPr>
                <w:rFonts w:hint="eastAsia" w:ascii="Times New Roman" w:hAnsi="Times New Roman" w:eastAsia="方正仿宋_GBK" w:cs="Times New Roman"/>
                <w:b/>
                <w:bCs/>
                <w:color w:val="auto"/>
                <w:sz w:val="21"/>
                <w:szCs w:val="21"/>
                <w:highlight w:val="none"/>
                <w:lang w:eastAsia="zh"/>
              </w:rPr>
              <w:t>腰峰</w:t>
            </w:r>
            <w:r>
              <w:rPr>
                <w:rFonts w:hint="eastAsia" w:ascii="Times New Roman" w:hAnsi="Times New Roman" w:eastAsia="方正仿宋_GBK" w:cs="Times New Roman"/>
                <w:b/>
                <w:bCs/>
                <w:color w:val="auto"/>
                <w:sz w:val="21"/>
                <w:szCs w:val="21"/>
                <w:highlight w:val="none"/>
                <w:lang w:val="en-US" w:eastAsia="zh-CN"/>
              </w:rPr>
              <w:t>最大</w:t>
            </w:r>
            <w:r>
              <w:rPr>
                <w:rFonts w:hint="default" w:ascii="Times New Roman" w:hAnsi="Times New Roman" w:eastAsia="方正仿宋_GBK" w:cs="Times New Roman"/>
                <w:b/>
                <w:bCs/>
                <w:color w:val="auto"/>
                <w:sz w:val="21"/>
                <w:szCs w:val="21"/>
                <w:highlight w:val="none"/>
              </w:rPr>
              <w:t>可调</w:t>
            </w:r>
          </w:p>
          <w:p>
            <w:pPr>
              <w:pStyle w:val="23"/>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负荷</w:t>
            </w:r>
          </w:p>
        </w:tc>
        <w:tc>
          <w:tcPr>
            <w:tcW w:w="532" w:type="dxa"/>
            <w:tcBorders>
              <w:tl2br w:val="nil"/>
              <w:tr2bl w:val="nil"/>
            </w:tcBorders>
            <w:tcMar>
              <w:left w:w="108" w:type="dxa"/>
              <w:right w:w="108" w:type="dxa"/>
            </w:tcMar>
            <w:vAlign w:val="center"/>
          </w:tcPr>
          <w:p>
            <w:pPr>
              <w:pStyle w:val="23"/>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户数</w:t>
            </w:r>
          </w:p>
        </w:tc>
        <w:tc>
          <w:tcPr>
            <w:tcW w:w="817" w:type="dxa"/>
            <w:tcBorders>
              <w:tl2br w:val="nil"/>
              <w:tr2bl w:val="nil"/>
            </w:tcBorders>
            <w:tcMar>
              <w:left w:w="108" w:type="dxa"/>
              <w:right w:w="108" w:type="dxa"/>
            </w:tcMar>
            <w:vAlign w:val="center"/>
          </w:tcPr>
          <w:p>
            <w:pPr>
              <w:pStyle w:val="23"/>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bCs/>
                <w:color w:val="auto"/>
                <w:sz w:val="21"/>
                <w:szCs w:val="21"/>
                <w:highlight w:val="none"/>
              </w:rPr>
            </w:pPr>
            <w:r>
              <w:rPr>
                <w:rFonts w:hint="eastAsia" w:ascii="Times New Roman" w:hAnsi="Times New Roman" w:eastAsia="方正仿宋_GBK" w:cs="Times New Roman"/>
                <w:b/>
                <w:bCs/>
                <w:color w:val="auto"/>
                <w:sz w:val="21"/>
                <w:szCs w:val="21"/>
                <w:highlight w:val="none"/>
                <w:lang w:eastAsia="zh"/>
              </w:rPr>
              <w:t>腰峰</w:t>
            </w:r>
            <w:r>
              <w:rPr>
                <w:rFonts w:hint="eastAsia" w:ascii="Times New Roman" w:hAnsi="Times New Roman" w:eastAsia="方正仿宋_GBK" w:cs="Times New Roman"/>
                <w:b/>
                <w:bCs/>
                <w:color w:val="auto"/>
                <w:sz w:val="21"/>
                <w:szCs w:val="21"/>
                <w:highlight w:val="none"/>
                <w:lang w:val="en-US" w:eastAsia="zh-CN"/>
              </w:rPr>
              <w:t>最大</w:t>
            </w:r>
            <w:r>
              <w:rPr>
                <w:rFonts w:hint="default" w:ascii="Times New Roman" w:hAnsi="Times New Roman" w:eastAsia="方正仿宋_GBK" w:cs="Times New Roman"/>
                <w:b/>
                <w:bCs/>
                <w:color w:val="auto"/>
                <w:sz w:val="21"/>
                <w:szCs w:val="21"/>
                <w:highlight w:val="none"/>
              </w:rPr>
              <w:t>可调</w:t>
            </w:r>
          </w:p>
          <w:p>
            <w:pPr>
              <w:pStyle w:val="23"/>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负荷</w:t>
            </w:r>
          </w:p>
        </w:tc>
        <w:tc>
          <w:tcPr>
            <w:tcW w:w="574" w:type="dxa"/>
            <w:tcBorders>
              <w:tl2br w:val="nil"/>
              <w:tr2bl w:val="nil"/>
            </w:tcBorders>
            <w:tcMar>
              <w:left w:w="108" w:type="dxa"/>
              <w:right w:w="108" w:type="dxa"/>
            </w:tcMar>
            <w:vAlign w:val="center"/>
          </w:tcPr>
          <w:p>
            <w:pPr>
              <w:pStyle w:val="23"/>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户数</w:t>
            </w:r>
          </w:p>
        </w:tc>
        <w:tc>
          <w:tcPr>
            <w:tcW w:w="746" w:type="dxa"/>
            <w:tcBorders>
              <w:tl2br w:val="nil"/>
              <w:tr2bl w:val="nil"/>
            </w:tcBorders>
            <w:tcMar>
              <w:left w:w="108" w:type="dxa"/>
              <w:right w:w="108" w:type="dxa"/>
            </w:tcMar>
            <w:vAlign w:val="center"/>
          </w:tcPr>
          <w:p>
            <w:pPr>
              <w:pStyle w:val="23"/>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bCs/>
                <w:color w:val="auto"/>
                <w:sz w:val="21"/>
                <w:szCs w:val="21"/>
                <w:highlight w:val="none"/>
              </w:rPr>
            </w:pPr>
            <w:r>
              <w:rPr>
                <w:rFonts w:hint="eastAsia" w:ascii="Times New Roman" w:hAnsi="Times New Roman" w:eastAsia="方正仿宋_GBK" w:cs="Times New Roman"/>
                <w:b/>
                <w:bCs/>
                <w:color w:val="auto"/>
                <w:sz w:val="21"/>
                <w:szCs w:val="21"/>
                <w:highlight w:val="none"/>
                <w:lang w:eastAsia="zh"/>
              </w:rPr>
              <w:t>腰峰</w:t>
            </w:r>
            <w:r>
              <w:rPr>
                <w:rFonts w:hint="eastAsia" w:ascii="Times New Roman" w:hAnsi="Times New Roman" w:eastAsia="方正仿宋_GBK" w:cs="Times New Roman"/>
                <w:b/>
                <w:bCs/>
                <w:color w:val="auto"/>
                <w:sz w:val="21"/>
                <w:szCs w:val="21"/>
                <w:highlight w:val="none"/>
                <w:lang w:val="en-US" w:eastAsia="zh-CN"/>
              </w:rPr>
              <w:t>最大</w:t>
            </w:r>
            <w:r>
              <w:rPr>
                <w:rFonts w:hint="default" w:ascii="Times New Roman" w:hAnsi="Times New Roman" w:eastAsia="方正仿宋_GBK" w:cs="Times New Roman"/>
                <w:b/>
                <w:bCs/>
                <w:color w:val="auto"/>
                <w:sz w:val="21"/>
                <w:szCs w:val="21"/>
                <w:highlight w:val="none"/>
              </w:rPr>
              <w:t>可调</w:t>
            </w:r>
          </w:p>
          <w:p>
            <w:pPr>
              <w:pStyle w:val="23"/>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负荷</w:t>
            </w:r>
          </w:p>
        </w:tc>
        <w:tc>
          <w:tcPr>
            <w:tcW w:w="546" w:type="dxa"/>
            <w:tcBorders>
              <w:tl2br w:val="nil"/>
              <w:tr2bl w:val="nil"/>
            </w:tcBorders>
            <w:tcMar>
              <w:left w:w="108" w:type="dxa"/>
              <w:right w:w="108" w:type="dxa"/>
            </w:tcMar>
            <w:vAlign w:val="center"/>
          </w:tcPr>
          <w:p>
            <w:pPr>
              <w:pStyle w:val="23"/>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户数</w:t>
            </w:r>
          </w:p>
        </w:tc>
        <w:tc>
          <w:tcPr>
            <w:tcW w:w="841" w:type="dxa"/>
            <w:tcBorders>
              <w:tl2br w:val="nil"/>
              <w:tr2bl w:val="nil"/>
            </w:tcBorders>
            <w:tcMar>
              <w:left w:w="108" w:type="dxa"/>
              <w:right w:w="108" w:type="dxa"/>
            </w:tcMar>
            <w:vAlign w:val="center"/>
          </w:tcPr>
          <w:p>
            <w:pPr>
              <w:pStyle w:val="23"/>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bCs/>
                <w:color w:val="auto"/>
                <w:sz w:val="21"/>
                <w:szCs w:val="21"/>
                <w:highlight w:val="none"/>
              </w:rPr>
            </w:pPr>
            <w:r>
              <w:rPr>
                <w:rFonts w:hint="eastAsia" w:ascii="Times New Roman" w:hAnsi="Times New Roman" w:eastAsia="方正仿宋_GBK" w:cs="Times New Roman"/>
                <w:b/>
                <w:bCs/>
                <w:color w:val="auto"/>
                <w:sz w:val="21"/>
                <w:szCs w:val="21"/>
                <w:highlight w:val="none"/>
                <w:lang w:eastAsia="zh"/>
              </w:rPr>
              <w:t>腰峰</w:t>
            </w:r>
            <w:r>
              <w:rPr>
                <w:rFonts w:hint="eastAsia" w:ascii="Times New Roman" w:hAnsi="Times New Roman" w:eastAsia="方正仿宋_GBK" w:cs="Times New Roman"/>
                <w:b/>
                <w:bCs/>
                <w:color w:val="auto"/>
                <w:sz w:val="21"/>
                <w:szCs w:val="21"/>
                <w:highlight w:val="none"/>
                <w:lang w:val="en-US" w:eastAsia="zh-CN"/>
              </w:rPr>
              <w:t>最大</w:t>
            </w:r>
            <w:r>
              <w:rPr>
                <w:rFonts w:hint="default" w:ascii="Times New Roman" w:hAnsi="Times New Roman" w:eastAsia="方正仿宋_GBK" w:cs="Times New Roman"/>
                <w:b/>
                <w:bCs/>
                <w:color w:val="auto"/>
                <w:sz w:val="21"/>
                <w:szCs w:val="21"/>
                <w:highlight w:val="none"/>
              </w:rPr>
              <w:t>可调</w:t>
            </w:r>
          </w:p>
          <w:p>
            <w:pPr>
              <w:pStyle w:val="23"/>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负荷</w:t>
            </w:r>
          </w:p>
        </w:tc>
        <w:tc>
          <w:tcPr>
            <w:tcW w:w="546" w:type="dxa"/>
            <w:tcBorders>
              <w:tl2br w:val="nil"/>
              <w:tr2bl w:val="nil"/>
            </w:tcBorders>
            <w:tcMar>
              <w:left w:w="108" w:type="dxa"/>
              <w:right w:w="108" w:type="dxa"/>
            </w:tcMar>
            <w:vAlign w:val="center"/>
          </w:tcPr>
          <w:p>
            <w:pPr>
              <w:pStyle w:val="23"/>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户数</w:t>
            </w:r>
          </w:p>
        </w:tc>
        <w:tc>
          <w:tcPr>
            <w:tcW w:w="801" w:type="dxa"/>
            <w:tcBorders>
              <w:tl2br w:val="nil"/>
              <w:tr2bl w:val="nil"/>
            </w:tcBorders>
            <w:tcMar>
              <w:left w:w="108" w:type="dxa"/>
              <w:right w:w="108" w:type="dxa"/>
            </w:tcMar>
            <w:vAlign w:val="center"/>
          </w:tcPr>
          <w:p>
            <w:pPr>
              <w:pStyle w:val="23"/>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80" w:lineRule="exact"/>
              <w:textAlignment w:val="auto"/>
              <w:rPr>
                <w:rFonts w:hint="eastAsia" w:ascii="Times New Roman" w:hAnsi="Times New Roman" w:eastAsia="方正仿宋_GBK" w:cs="Times New Roman"/>
                <w:b/>
                <w:bCs/>
                <w:color w:val="auto"/>
                <w:sz w:val="21"/>
                <w:szCs w:val="21"/>
                <w:highlight w:val="none"/>
                <w:lang w:eastAsia="zh-CN"/>
              </w:rPr>
            </w:pPr>
            <w:r>
              <w:rPr>
                <w:rFonts w:hint="eastAsia" w:ascii="Times New Roman" w:hAnsi="Times New Roman" w:eastAsia="方正仿宋_GBK" w:cs="Times New Roman"/>
                <w:b/>
                <w:bCs/>
                <w:color w:val="auto"/>
                <w:sz w:val="21"/>
                <w:szCs w:val="21"/>
                <w:highlight w:val="none"/>
                <w:lang w:eastAsia="zh"/>
              </w:rPr>
              <w:t>腰峰</w:t>
            </w:r>
            <w:r>
              <w:rPr>
                <w:rFonts w:hint="eastAsia" w:ascii="Times New Roman" w:hAnsi="Times New Roman" w:eastAsia="方正仿宋_GBK" w:cs="Times New Roman"/>
                <w:b/>
                <w:bCs/>
                <w:color w:val="auto"/>
                <w:sz w:val="21"/>
                <w:szCs w:val="21"/>
                <w:highlight w:val="none"/>
                <w:lang w:eastAsia="zh-CN"/>
              </w:rPr>
              <w:t>最大可调负荷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3" w:hRule="atLeast"/>
          <w:tblCellSpacing w:w="0" w:type="dxa"/>
          <w:jc w:val="center"/>
        </w:trPr>
        <w:tc>
          <w:tcPr>
            <w:tcW w:w="816" w:type="dxa"/>
            <w:tcBorders>
              <w:tl2br w:val="nil"/>
              <w:tr2bl w:val="nil"/>
            </w:tcBorders>
            <w:tcMar>
              <w:left w:w="108" w:type="dxa"/>
              <w:right w:w="108" w:type="dxa"/>
            </w:tcMar>
            <w:vAlign w:val="center"/>
          </w:tcPr>
          <w:p>
            <w:pPr>
              <w:pStyle w:val="23"/>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val="en-US" w:eastAsia="zh-CN"/>
              </w:rPr>
              <w:t>全市</w:t>
            </w:r>
          </w:p>
        </w:tc>
        <w:tc>
          <w:tcPr>
            <w:tcW w:w="717"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rPr>
            </w:pPr>
            <w:r>
              <w:rPr>
                <w:rFonts w:hint="eastAsia" w:ascii="宋体" w:hAnsi="宋体" w:cs="宋体"/>
                <w:i w:val="0"/>
                <w:iCs w:val="0"/>
                <w:color w:val="auto"/>
                <w:kern w:val="0"/>
                <w:sz w:val="22"/>
                <w:szCs w:val="22"/>
                <w:highlight w:val="none"/>
                <w:u w:val="none"/>
                <w:lang w:val="en-US" w:eastAsia="zh-CN" w:bidi="ar"/>
              </w:rPr>
              <w:t>269</w:t>
            </w:r>
          </w:p>
        </w:tc>
        <w:tc>
          <w:tcPr>
            <w:tcW w:w="810"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21.</w:t>
            </w:r>
            <w:r>
              <w:rPr>
                <w:rFonts w:hint="eastAsia" w:ascii="宋体" w:hAnsi="宋体" w:cs="宋体"/>
                <w:i w:val="0"/>
                <w:iCs w:val="0"/>
                <w:color w:val="auto"/>
                <w:kern w:val="0"/>
                <w:sz w:val="22"/>
                <w:szCs w:val="22"/>
                <w:highlight w:val="none"/>
                <w:u w:val="none"/>
                <w:lang w:val="en-US" w:eastAsia="zh-CN" w:bidi="ar"/>
              </w:rPr>
              <w:t>01</w:t>
            </w:r>
          </w:p>
        </w:tc>
        <w:tc>
          <w:tcPr>
            <w:tcW w:w="561"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rPr>
            </w:pPr>
            <w:r>
              <w:rPr>
                <w:rFonts w:hint="eastAsia" w:ascii="宋体" w:hAnsi="宋体" w:cs="宋体"/>
                <w:i w:val="0"/>
                <w:iCs w:val="0"/>
                <w:color w:val="000000"/>
                <w:kern w:val="0"/>
                <w:sz w:val="22"/>
                <w:szCs w:val="22"/>
                <w:highlight w:val="none"/>
                <w:u w:val="none"/>
                <w:lang w:val="en-US" w:eastAsia="zh-CN" w:bidi="ar"/>
              </w:rPr>
              <w:t>12</w:t>
            </w:r>
          </w:p>
        </w:tc>
        <w:tc>
          <w:tcPr>
            <w:tcW w:w="865"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eastAsia" w:ascii="宋体" w:hAnsi="宋体" w:eastAsia="宋体" w:cs="宋体"/>
                <w:i w:val="0"/>
                <w:iCs w:val="0"/>
                <w:color w:val="000000"/>
                <w:kern w:val="0"/>
                <w:sz w:val="22"/>
                <w:szCs w:val="22"/>
                <w:highlight w:val="none"/>
                <w:u w:val="none"/>
                <w:lang w:val="en-US" w:eastAsia="zh-CN" w:bidi="ar"/>
              </w:rPr>
              <w:t>0.09</w:t>
            </w:r>
          </w:p>
        </w:tc>
        <w:tc>
          <w:tcPr>
            <w:tcW w:w="532"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eastAsia" w:ascii="宋体" w:hAnsi="宋体" w:eastAsia="宋体" w:cs="宋体"/>
                <w:i w:val="0"/>
                <w:iCs w:val="0"/>
                <w:color w:val="000000"/>
                <w:kern w:val="0"/>
                <w:sz w:val="22"/>
                <w:szCs w:val="22"/>
                <w:highlight w:val="none"/>
                <w:u w:val="none"/>
                <w:lang w:val="en-US" w:eastAsia="zh-CN" w:bidi="ar"/>
              </w:rPr>
              <w:t>54</w:t>
            </w:r>
          </w:p>
        </w:tc>
        <w:tc>
          <w:tcPr>
            <w:tcW w:w="817"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eastAsia" w:ascii="宋体" w:hAnsi="宋体" w:eastAsia="宋体" w:cs="宋体"/>
                <w:i w:val="0"/>
                <w:iCs w:val="0"/>
                <w:color w:val="000000"/>
                <w:kern w:val="0"/>
                <w:sz w:val="22"/>
                <w:szCs w:val="22"/>
                <w:highlight w:val="none"/>
                <w:u w:val="none"/>
                <w:lang w:val="en-US" w:eastAsia="zh-CN" w:bidi="ar"/>
              </w:rPr>
              <w:t>3.15</w:t>
            </w:r>
          </w:p>
        </w:tc>
        <w:tc>
          <w:tcPr>
            <w:tcW w:w="574"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rPr>
            </w:pPr>
            <w:r>
              <w:rPr>
                <w:rFonts w:hint="eastAsia" w:ascii="宋体" w:hAnsi="宋体" w:eastAsia="宋体" w:cs="宋体"/>
                <w:i w:val="0"/>
                <w:iCs w:val="0"/>
                <w:color w:val="000000"/>
                <w:kern w:val="0"/>
                <w:sz w:val="22"/>
                <w:szCs w:val="22"/>
                <w:highlight w:val="none"/>
                <w:u w:val="none"/>
                <w:lang w:val="en-US" w:eastAsia="zh-CN" w:bidi="ar"/>
              </w:rPr>
              <w:t>1</w:t>
            </w:r>
            <w:r>
              <w:rPr>
                <w:rFonts w:hint="eastAsia" w:ascii="宋体" w:hAnsi="宋体" w:cs="宋体"/>
                <w:i w:val="0"/>
                <w:iCs w:val="0"/>
                <w:color w:val="000000"/>
                <w:kern w:val="0"/>
                <w:sz w:val="22"/>
                <w:szCs w:val="22"/>
                <w:highlight w:val="none"/>
                <w:u w:val="none"/>
                <w:lang w:val="en-US" w:eastAsia="zh-CN" w:bidi="ar"/>
              </w:rPr>
              <w:t>43</w:t>
            </w:r>
          </w:p>
        </w:tc>
        <w:tc>
          <w:tcPr>
            <w:tcW w:w="746"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rPr>
            </w:pPr>
            <w:r>
              <w:rPr>
                <w:rFonts w:hint="eastAsia" w:ascii="宋体" w:hAnsi="宋体" w:cs="宋体"/>
                <w:i w:val="0"/>
                <w:iCs w:val="0"/>
                <w:color w:val="000000"/>
                <w:kern w:val="0"/>
                <w:sz w:val="22"/>
                <w:szCs w:val="22"/>
                <w:highlight w:val="none"/>
                <w:u w:val="none"/>
                <w:lang w:val="en-US" w:eastAsia="zh-CN" w:bidi="ar"/>
              </w:rPr>
              <w:t>6.30</w:t>
            </w:r>
          </w:p>
        </w:tc>
        <w:tc>
          <w:tcPr>
            <w:tcW w:w="546"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eastAsia" w:ascii="宋体" w:hAnsi="宋体" w:eastAsia="宋体" w:cs="宋体"/>
                <w:i w:val="0"/>
                <w:iCs w:val="0"/>
                <w:color w:val="000000"/>
                <w:kern w:val="0"/>
                <w:sz w:val="22"/>
                <w:szCs w:val="22"/>
                <w:highlight w:val="none"/>
                <w:u w:val="none"/>
                <w:lang w:val="en-US" w:eastAsia="zh-CN" w:bidi="ar"/>
              </w:rPr>
              <w:t>19</w:t>
            </w:r>
          </w:p>
        </w:tc>
        <w:tc>
          <w:tcPr>
            <w:tcW w:w="841"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eastAsia" w:ascii="宋体" w:hAnsi="宋体" w:eastAsia="宋体" w:cs="宋体"/>
                <w:i w:val="0"/>
                <w:iCs w:val="0"/>
                <w:color w:val="000000"/>
                <w:kern w:val="0"/>
                <w:sz w:val="22"/>
                <w:szCs w:val="22"/>
                <w:highlight w:val="none"/>
                <w:u w:val="none"/>
                <w:lang w:val="en-US" w:eastAsia="zh-CN" w:bidi="ar"/>
              </w:rPr>
              <w:t>0.92</w:t>
            </w:r>
          </w:p>
        </w:tc>
        <w:tc>
          <w:tcPr>
            <w:tcW w:w="546"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rPr>
            </w:pPr>
            <w:r>
              <w:rPr>
                <w:rFonts w:hint="eastAsia" w:ascii="宋体" w:hAnsi="宋体" w:eastAsia="宋体" w:cs="宋体"/>
                <w:i w:val="0"/>
                <w:iCs w:val="0"/>
                <w:color w:val="000000"/>
                <w:kern w:val="0"/>
                <w:sz w:val="22"/>
                <w:szCs w:val="22"/>
                <w:highlight w:val="none"/>
                <w:u w:val="none"/>
                <w:lang w:val="en-US" w:eastAsia="zh-CN" w:bidi="ar"/>
              </w:rPr>
              <w:t>3</w:t>
            </w:r>
            <w:r>
              <w:rPr>
                <w:rFonts w:hint="eastAsia" w:ascii="宋体" w:hAnsi="宋体" w:cs="宋体"/>
                <w:i w:val="0"/>
                <w:iCs w:val="0"/>
                <w:color w:val="000000"/>
                <w:kern w:val="0"/>
                <w:sz w:val="22"/>
                <w:szCs w:val="22"/>
                <w:highlight w:val="none"/>
                <w:u w:val="none"/>
                <w:lang w:val="en-US" w:eastAsia="zh-CN" w:bidi="ar"/>
              </w:rPr>
              <w:t>1</w:t>
            </w:r>
          </w:p>
        </w:tc>
        <w:tc>
          <w:tcPr>
            <w:tcW w:w="801"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rPr>
            </w:pPr>
            <w:r>
              <w:rPr>
                <w:rFonts w:hint="eastAsia" w:ascii="宋体" w:hAnsi="宋体" w:eastAsia="宋体" w:cs="宋体"/>
                <w:i w:val="0"/>
                <w:iCs w:val="0"/>
                <w:color w:val="000000"/>
                <w:kern w:val="0"/>
                <w:sz w:val="22"/>
                <w:szCs w:val="22"/>
                <w:highlight w:val="none"/>
                <w:u w:val="none"/>
                <w:lang w:val="en-US" w:eastAsia="zh-CN" w:bidi="ar"/>
              </w:rPr>
              <w:t>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6" w:hRule="atLeast"/>
          <w:tblCellSpacing w:w="0" w:type="dxa"/>
          <w:jc w:val="center"/>
        </w:trPr>
        <w:tc>
          <w:tcPr>
            <w:tcW w:w="816" w:type="dxa"/>
            <w:tcBorders>
              <w:tl2br w:val="nil"/>
              <w:tr2bl w:val="nil"/>
            </w:tcBorders>
            <w:tcMar>
              <w:left w:w="108" w:type="dxa"/>
              <w:right w:w="108" w:type="dxa"/>
            </w:tcMar>
            <w:vAlign w:val="center"/>
          </w:tcPr>
          <w:p>
            <w:pPr>
              <w:pStyle w:val="23"/>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宿豫</w:t>
            </w:r>
          </w:p>
        </w:tc>
        <w:tc>
          <w:tcPr>
            <w:tcW w:w="717"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62</w:t>
            </w:r>
          </w:p>
        </w:tc>
        <w:tc>
          <w:tcPr>
            <w:tcW w:w="810"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Times New Roman" w:hAnsi="Times New Roman" w:eastAsia="方正仿宋_GBK" w:cs="Times New Roman"/>
                <w:color w:val="auto"/>
                <w:sz w:val="21"/>
                <w:szCs w:val="21"/>
                <w:highlight w:val="none"/>
                <w:lang w:val="en-US" w:eastAsia="zh"/>
              </w:rPr>
            </w:pPr>
            <w:r>
              <w:rPr>
                <w:rFonts w:hint="eastAsia" w:ascii="宋体" w:hAnsi="宋体" w:eastAsia="宋体" w:cs="宋体"/>
                <w:i w:val="0"/>
                <w:iCs w:val="0"/>
                <w:color w:val="auto"/>
                <w:kern w:val="0"/>
                <w:sz w:val="22"/>
                <w:szCs w:val="22"/>
                <w:highlight w:val="none"/>
                <w:u w:val="none"/>
                <w:lang w:val="en-US" w:eastAsia="zh-CN" w:bidi="ar"/>
              </w:rPr>
              <w:t>13.14</w:t>
            </w:r>
          </w:p>
        </w:tc>
        <w:tc>
          <w:tcPr>
            <w:tcW w:w="561"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1</w:t>
            </w:r>
          </w:p>
        </w:tc>
        <w:tc>
          <w:tcPr>
            <w:tcW w:w="865"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0</w:t>
            </w:r>
          </w:p>
        </w:tc>
        <w:tc>
          <w:tcPr>
            <w:tcW w:w="532"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29</w:t>
            </w:r>
          </w:p>
        </w:tc>
        <w:tc>
          <w:tcPr>
            <w:tcW w:w="817"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2.8</w:t>
            </w:r>
          </w:p>
        </w:tc>
        <w:tc>
          <w:tcPr>
            <w:tcW w:w="574"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22</w:t>
            </w:r>
          </w:p>
        </w:tc>
        <w:tc>
          <w:tcPr>
            <w:tcW w:w="746"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Times New Roman" w:hAnsi="Times New Roman" w:eastAsia="方正仿宋_GBK" w:cs="Times New Roman"/>
                <w:color w:val="auto"/>
                <w:sz w:val="21"/>
                <w:szCs w:val="21"/>
                <w:highlight w:val="none"/>
                <w:lang w:val="en-US" w:eastAsia="zh"/>
              </w:rPr>
            </w:pPr>
            <w:r>
              <w:rPr>
                <w:rFonts w:hint="eastAsia" w:ascii="宋体" w:hAnsi="宋体" w:eastAsia="宋体" w:cs="宋体"/>
                <w:i w:val="0"/>
                <w:iCs w:val="0"/>
                <w:color w:val="000000"/>
                <w:kern w:val="0"/>
                <w:sz w:val="22"/>
                <w:szCs w:val="22"/>
                <w:highlight w:val="none"/>
                <w:u w:val="none"/>
                <w:lang w:val="en-US" w:eastAsia="zh-CN" w:bidi="ar"/>
              </w:rPr>
              <w:t>1.81</w:t>
            </w:r>
          </w:p>
        </w:tc>
        <w:tc>
          <w:tcPr>
            <w:tcW w:w="546"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2</w:t>
            </w:r>
          </w:p>
        </w:tc>
        <w:tc>
          <w:tcPr>
            <w:tcW w:w="841"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Times New Roman" w:hAnsi="Times New Roman" w:eastAsia="方正仿宋_GBK" w:cs="Times New Roman"/>
                <w:color w:val="auto"/>
                <w:sz w:val="21"/>
                <w:szCs w:val="21"/>
                <w:highlight w:val="none"/>
                <w:lang w:val="en-US" w:eastAsia="zh"/>
              </w:rPr>
            </w:pPr>
            <w:r>
              <w:rPr>
                <w:rFonts w:hint="eastAsia" w:ascii="宋体" w:hAnsi="宋体" w:eastAsia="宋体" w:cs="宋体"/>
                <w:i w:val="0"/>
                <w:iCs w:val="0"/>
                <w:color w:val="000000"/>
                <w:kern w:val="0"/>
                <w:sz w:val="22"/>
                <w:szCs w:val="22"/>
                <w:highlight w:val="none"/>
                <w:u w:val="none"/>
                <w:lang w:val="en-US" w:eastAsia="zh-CN" w:bidi="ar"/>
              </w:rPr>
              <w:t>0.32</w:t>
            </w:r>
          </w:p>
        </w:tc>
        <w:tc>
          <w:tcPr>
            <w:tcW w:w="546"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8</w:t>
            </w:r>
          </w:p>
        </w:tc>
        <w:tc>
          <w:tcPr>
            <w:tcW w:w="801"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Times New Roman" w:hAnsi="Times New Roman" w:eastAsia="方正仿宋_GBK" w:cs="Times New Roman"/>
                <w:color w:val="auto"/>
                <w:sz w:val="21"/>
                <w:szCs w:val="21"/>
                <w:highlight w:val="none"/>
                <w:lang w:val="en-US" w:eastAsia="zh"/>
              </w:rPr>
            </w:pPr>
            <w:r>
              <w:rPr>
                <w:rFonts w:hint="eastAsia" w:ascii="宋体" w:hAnsi="宋体" w:eastAsia="宋体" w:cs="宋体"/>
                <w:i w:val="0"/>
                <w:iCs w:val="0"/>
                <w:color w:val="000000"/>
                <w:kern w:val="0"/>
                <w:sz w:val="22"/>
                <w:szCs w:val="22"/>
                <w:highlight w:val="none"/>
                <w:u w:val="none"/>
                <w:lang w:val="en-US" w:eastAsia="zh-CN" w:bidi="ar"/>
              </w:rPr>
              <w:t>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2" w:hRule="atLeast"/>
          <w:tblCellSpacing w:w="0" w:type="dxa"/>
          <w:jc w:val="center"/>
        </w:trPr>
        <w:tc>
          <w:tcPr>
            <w:tcW w:w="816" w:type="dxa"/>
            <w:tcBorders>
              <w:tl2br w:val="nil"/>
              <w:tr2bl w:val="nil"/>
            </w:tcBorders>
            <w:tcMar>
              <w:left w:w="108" w:type="dxa"/>
              <w:right w:w="108" w:type="dxa"/>
            </w:tcMar>
            <w:vAlign w:val="center"/>
          </w:tcPr>
          <w:p>
            <w:pPr>
              <w:pStyle w:val="23"/>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宿城</w:t>
            </w:r>
          </w:p>
        </w:tc>
        <w:tc>
          <w:tcPr>
            <w:tcW w:w="717"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eastAsia="zh-CN"/>
              </w:rPr>
            </w:pPr>
            <w:r>
              <w:rPr>
                <w:rFonts w:hint="eastAsia" w:ascii="宋体" w:hAnsi="宋体" w:cs="宋体"/>
                <w:i w:val="0"/>
                <w:iCs w:val="0"/>
                <w:color w:val="auto"/>
                <w:kern w:val="0"/>
                <w:sz w:val="22"/>
                <w:szCs w:val="22"/>
                <w:highlight w:val="none"/>
                <w:u w:val="none"/>
                <w:lang w:val="en-US" w:eastAsia="zh-CN" w:bidi="ar"/>
              </w:rPr>
              <w:t>54</w:t>
            </w:r>
          </w:p>
        </w:tc>
        <w:tc>
          <w:tcPr>
            <w:tcW w:w="810"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eastAsia="zh"/>
              </w:rPr>
            </w:pPr>
            <w:r>
              <w:rPr>
                <w:rFonts w:hint="eastAsia" w:ascii="宋体" w:hAnsi="宋体" w:cs="宋体"/>
                <w:i w:val="0"/>
                <w:iCs w:val="0"/>
                <w:color w:val="auto"/>
                <w:kern w:val="0"/>
                <w:sz w:val="22"/>
                <w:szCs w:val="22"/>
                <w:highlight w:val="none"/>
                <w:u w:val="none"/>
                <w:lang w:val="en-US" w:eastAsia="zh-CN" w:bidi="ar"/>
              </w:rPr>
              <w:t>2.04</w:t>
            </w:r>
          </w:p>
        </w:tc>
        <w:tc>
          <w:tcPr>
            <w:tcW w:w="561"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Times New Roman" w:hAnsi="Times New Roman" w:eastAsia="方正仿宋_GBK" w:cs="Times New Roman"/>
                <w:color w:val="auto"/>
                <w:sz w:val="21"/>
                <w:szCs w:val="21"/>
                <w:highlight w:val="none"/>
                <w:lang w:val="en-US" w:eastAsia="zh"/>
              </w:rPr>
            </w:pPr>
            <w:r>
              <w:rPr>
                <w:rFonts w:hint="eastAsia" w:ascii="宋体" w:hAnsi="宋体" w:eastAsia="宋体" w:cs="宋体"/>
                <w:i w:val="0"/>
                <w:iCs w:val="0"/>
                <w:color w:val="000000"/>
                <w:kern w:val="0"/>
                <w:sz w:val="22"/>
                <w:szCs w:val="22"/>
                <w:highlight w:val="none"/>
                <w:u w:val="none"/>
                <w:lang w:val="en-US" w:eastAsia="zh-CN" w:bidi="ar"/>
              </w:rPr>
              <w:t>1</w:t>
            </w:r>
          </w:p>
        </w:tc>
        <w:tc>
          <w:tcPr>
            <w:tcW w:w="865"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Times New Roman" w:hAnsi="Times New Roman" w:eastAsia="方正仿宋_GBK" w:cs="Times New Roman"/>
                <w:color w:val="auto"/>
                <w:sz w:val="21"/>
                <w:szCs w:val="21"/>
                <w:highlight w:val="none"/>
                <w:lang w:val="en-US" w:eastAsia="zh"/>
              </w:rPr>
            </w:pPr>
            <w:r>
              <w:rPr>
                <w:rFonts w:hint="eastAsia" w:ascii="宋体" w:hAnsi="宋体" w:eastAsia="宋体" w:cs="宋体"/>
                <w:i w:val="0"/>
                <w:iCs w:val="0"/>
                <w:color w:val="000000"/>
                <w:kern w:val="0"/>
                <w:sz w:val="22"/>
                <w:szCs w:val="22"/>
                <w:highlight w:val="none"/>
                <w:u w:val="none"/>
                <w:lang w:val="en-US" w:eastAsia="zh-CN" w:bidi="ar"/>
              </w:rPr>
              <w:t>0</w:t>
            </w:r>
          </w:p>
        </w:tc>
        <w:tc>
          <w:tcPr>
            <w:tcW w:w="532"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Times New Roman" w:hAnsi="Times New Roman" w:eastAsia="方正仿宋_GBK" w:cs="Times New Roman"/>
                <w:color w:val="auto"/>
                <w:sz w:val="21"/>
                <w:szCs w:val="21"/>
                <w:highlight w:val="none"/>
                <w:lang w:val="en-US" w:eastAsia="zh"/>
              </w:rPr>
            </w:pPr>
            <w:r>
              <w:rPr>
                <w:rFonts w:hint="eastAsia" w:ascii="宋体" w:hAnsi="宋体" w:eastAsia="宋体" w:cs="宋体"/>
                <w:i w:val="0"/>
                <w:iCs w:val="0"/>
                <w:color w:val="000000"/>
                <w:kern w:val="0"/>
                <w:sz w:val="22"/>
                <w:szCs w:val="22"/>
                <w:highlight w:val="none"/>
                <w:u w:val="none"/>
                <w:lang w:val="en-US" w:eastAsia="zh-CN" w:bidi="ar"/>
              </w:rPr>
              <w:t>5</w:t>
            </w:r>
          </w:p>
        </w:tc>
        <w:tc>
          <w:tcPr>
            <w:tcW w:w="817"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Times New Roman" w:hAnsi="Times New Roman" w:eastAsia="方正仿宋_GBK" w:cs="Times New Roman"/>
                <w:color w:val="auto"/>
                <w:sz w:val="21"/>
                <w:szCs w:val="21"/>
                <w:highlight w:val="none"/>
                <w:lang w:val="en-US" w:eastAsia="zh"/>
              </w:rPr>
            </w:pPr>
            <w:r>
              <w:rPr>
                <w:rFonts w:hint="eastAsia" w:ascii="宋体" w:hAnsi="宋体" w:eastAsia="宋体" w:cs="宋体"/>
                <w:i w:val="0"/>
                <w:iCs w:val="0"/>
                <w:color w:val="000000"/>
                <w:kern w:val="0"/>
                <w:sz w:val="22"/>
                <w:szCs w:val="22"/>
                <w:highlight w:val="none"/>
                <w:u w:val="none"/>
                <w:lang w:val="en-US" w:eastAsia="zh-CN" w:bidi="ar"/>
              </w:rPr>
              <w:t>0.28</w:t>
            </w:r>
          </w:p>
        </w:tc>
        <w:tc>
          <w:tcPr>
            <w:tcW w:w="574"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eastAsia="zh"/>
              </w:rPr>
            </w:pPr>
            <w:r>
              <w:rPr>
                <w:rFonts w:hint="eastAsia" w:ascii="宋体" w:hAnsi="宋体" w:cs="宋体"/>
                <w:i w:val="0"/>
                <w:iCs w:val="0"/>
                <w:color w:val="000000"/>
                <w:kern w:val="0"/>
                <w:sz w:val="22"/>
                <w:szCs w:val="22"/>
                <w:highlight w:val="none"/>
                <w:u w:val="none"/>
                <w:lang w:val="en-US" w:eastAsia="zh-CN" w:bidi="ar"/>
              </w:rPr>
              <w:t>42</w:t>
            </w:r>
          </w:p>
        </w:tc>
        <w:tc>
          <w:tcPr>
            <w:tcW w:w="746"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rPr>
              <w:t>1.46</w:t>
            </w:r>
          </w:p>
        </w:tc>
        <w:tc>
          <w:tcPr>
            <w:tcW w:w="546"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0</w:t>
            </w:r>
          </w:p>
        </w:tc>
        <w:tc>
          <w:tcPr>
            <w:tcW w:w="841"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0</w:t>
            </w:r>
          </w:p>
        </w:tc>
        <w:tc>
          <w:tcPr>
            <w:tcW w:w="546"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rPr>
              <w:t>6</w:t>
            </w:r>
          </w:p>
        </w:tc>
        <w:tc>
          <w:tcPr>
            <w:tcW w:w="801"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Times New Roman" w:hAnsi="Times New Roman" w:eastAsia="方正仿宋_GBK" w:cs="Times New Roman"/>
                <w:color w:val="auto"/>
                <w:sz w:val="21"/>
                <w:szCs w:val="21"/>
                <w:highlight w:val="none"/>
                <w:lang w:val="en-US" w:eastAsia="zh"/>
              </w:rPr>
            </w:pPr>
            <w:r>
              <w:rPr>
                <w:rFonts w:hint="eastAsia" w:ascii="宋体" w:hAnsi="宋体" w:eastAsia="宋体" w:cs="宋体"/>
                <w:i w:val="0"/>
                <w:iCs w:val="0"/>
                <w:color w:val="000000"/>
                <w:kern w:val="0"/>
                <w:sz w:val="22"/>
                <w:szCs w:val="22"/>
                <w:highlight w:val="none"/>
                <w:u w:val="none"/>
                <w:lang w:val="en-US" w:eastAsia="zh-CN" w:bidi="ar"/>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4" w:hRule="atLeast"/>
          <w:tblCellSpacing w:w="0" w:type="dxa"/>
          <w:jc w:val="center"/>
        </w:trPr>
        <w:tc>
          <w:tcPr>
            <w:tcW w:w="816" w:type="dxa"/>
            <w:tcBorders>
              <w:tl2br w:val="nil"/>
              <w:tr2bl w:val="nil"/>
            </w:tcBorders>
            <w:tcMar>
              <w:left w:w="108" w:type="dxa"/>
              <w:right w:w="108" w:type="dxa"/>
            </w:tcMar>
            <w:vAlign w:val="center"/>
          </w:tcPr>
          <w:p>
            <w:pPr>
              <w:pStyle w:val="23"/>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沭阳</w:t>
            </w:r>
          </w:p>
        </w:tc>
        <w:tc>
          <w:tcPr>
            <w:tcW w:w="717"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7</w:t>
            </w:r>
            <w:r>
              <w:rPr>
                <w:rFonts w:hint="eastAsia" w:ascii="宋体" w:hAnsi="宋体" w:cs="宋体"/>
                <w:i w:val="0"/>
                <w:iCs w:val="0"/>
                <w:color w:val="auto"/>
                <w:kern w:val="0"/>
                <w:sz w:val="22"/>
                <w:szCs w:val="22"/>
                <w:highlight w:val="none"/>
                <w:u w:val="none"/>
                <w:lang w:val="en-US" w:eastAsia="zh-CN" w:bidi="ar"/>
              </w:rPr>
              <w:t>5</w:t>
            </w:r>
          </w:p>
        </w:tc>
        <w:tc>
          <w:tcPr>
            <w:tcW w:w="810"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eastAsia="zh"/>
              </w:rPr>
            </w:pPr>
            <w:r>
              <w:rPr>
                <w:rFonts w:hint="eastAsia" w:ascii="宋体" w:hAnsi="宋体" w:eastAsia="宋体" w:cs="宋体"/>
                <w:i w:val="0"/>
                <w:iCs w:val="0"/>
                <w:color w:val="auto"/>
                <w:kern w:val="0"/>
                <w:sz w:val="22"/>
                <w:szCs w:val="22"/>
                <w:highlight w:val="none"/>
                <w:u w:val="none"/>
                <w:lang w:val="en-US" w:eastAsia="zh-CN" w:bidi="ar"/>
              </w:rPr>
              <w:t>2.</w:t>
            </w:r>
            <w:r>
              <w:rPr>
                <w:rFonts w:hint="eastAsia" w:ascii="宋体" w:hAnsi="宋体" w:cs="宋体"/>
                <w:i w:val="0"/>
                <w:iCs w:val="0"/>
                <w:color w:val="auto"/>
                <w:kern w:val="0"/>
                <w:sz w:val="22"/>
                <w:szCs w:val="22"/>
                <w:highlight w:val="none"/>
                <w:u w:val="none"/>
                <w:lang w:val="en-US" w:eastAsia="zh-CN" w:bidi="ar"/>
              </w:rPr>
              <w:t>74</w:t>
            </w:r>
          </w:p>
        </w:tc>
        <w:tc>
          <w:tcPr>
            <w:tcW w:w="561"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10</w:t>
            </w:r>
          </w:p>
        </w:tc>
        <w:tc>
          <w:tcPr>
            <w:tcW w:w="865"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0.09</w:t>
            </w:r>
          </w:p>
        </w:tc>
        <w:tc>
          <w:tcPr>
            <w:tcW w:w="532"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15</w:t>
            </w:r>
          </w:p>
        </w:tc>
        <w:tc>
          <w:tcPr>
            <w:tcW w:w="817"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0.05</w:t>
            </w:r>
          </w:p>
        </w:tc>
        <w:tc>
          <w:tcPr>
            <w:tcW w:w="574"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2</w:t>
            </w:r>
            <w:r>
              <w:rPr>
                <w:rFonts w:hint="eastAsia" w:ascii="宋体" w:hAnsi="宋体" w:cs="宋体"/>
                <w:i w:val="0"/>
                <w:iCs w:val="0"/>
                <w:color w:val="000000"/>
                <w:kern w:val="0"/>
                <w:sz w:val="22"/>
                <w:szCs w:val="22"/>
                <w:highlight w:val="none"/>
                <w:u w:val="none"/>
                <w:lang w:val="en-US" w:eastAsia="zh-CN" w:bidi="ar"/>
              </w:rPr>
              <w:t>6</w:t>
            </w:r>
          </w:p>
        </w:tc>
        <w:tc>
          <w:tcPr>
            <w:tcW w:w="746"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1.</w:t>
            </w:r>
            <w:r>
              <w:rPr>
                <w:rFonts w:hint="eastAsia" w:ascii="宋体" w:hAnsi="宋体" w:cs="宋体"/>
                <w:i w:val="0"/>
                <w:iCs w:val="0"/>
                <w:color w:val="000000"/>
                <w:kern w:val="0"/>
                <w:sz w:val="22"/>
                <w:szCs w:val="22"/>
                <w:highlight w:val="none"/>
                <w:u w:val="none"/>
                <w:lang w:val="en-US" w:eastAsia="zh-CN" w:bidi="ar"/>
              </w:rPr>
              <w:t>88</w:t>
            </w:r>
          </w:p>
        </w:tc>
        <w:tc>
          <w:tcPr>
            <w:tcW w:w="546"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17</w:t>
            </w:r>
          </w:p>
        </w:tc>
        <w:tc>
          <w:tcPr>
            <w:tcW w:w="841"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0.6</w:t>
            </w:r>
          </w:p>
        </w:tc>
        <w:tc>
          <w:tcPr>
            <w:tcW w:w="546"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7</w:t>
            </w:r>
          </w:p>
        </w:tc>
        <w:tc>
          <w:tcPr>
            <w:tcW w:w="801"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88" w:hRule="atLeast"/>
          <w:tblCellSpacing w:w="0" w:type="dxa"/>
          <w:jc w:val="center"/>
        </w:trPr>
        <w:tc>
          <w:tcPr>
            <w:tcW w:w="816" w:type="dxa"/>
            <w:tcBorders>
              <w:tl2br w:val="nil"/>
              <w:tr2bl w:val="nil"/>
            </w:tcBorders>
            <w:tcMar>
              <w:left w:w="108" w:type="dxa"/>
              <w:right w:w="108" w:type="dxa"/>
            </w:tcMar>
            <w:vAlign w:val="center"/>
          </w:tcPr>
          <w:p>
            <w:pPr>
              <w:pStyle w:val="23"/>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泗阳</w:t>
            </w:r>
          </w:p>
        </w:tc>
        <w:tc>
          <w:tcPr>
            <w:tcW w:w="717"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34</w:t>
            </w:r>
          </w:p>
        </w:tc>
        <w:tc>
          <w:tcPr>
            <w:tcW w:w="810"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Times New Roman" w:hAnsi="Times New Roman" w:eastAsia="方正仿宋_GBK" w:cs="Times New Roman"/>
                <w:color w:val="auto"/>
                <w:sz w:val="21"/>
                <w:szCs w:val="21"/>
                <w:highlight w:val="none"/>
                <w:lang w:val="en-US" w:eastAsia="zh"/>
              </w:rPr>
            </w:pPr>
            <w:r>
              <w:rPr>
                <w:rFonts w:hint="eastAsia" w:ascii="宋体" w:hAnsi="宋体" w:eastAsia="宋体" w:cs="宋体"/>
                <w:i w:val="0"/>
                <w:iCs w:val="0"/>
                <w:color w:val="auto"/>
                <w:kern w:val="0"/>
                <w:sz w:val="22"/>
                <w:szCs w:val="22"/>
                <w:highlight w:val="none"/>
                <w:u w:val="none"/>
                <w:lang w:val="en-US" w:eastAsia="zh-CN" w:bidi="ar"/>
              </w:rPr>
              <w:t>0.72</w:t>
            </w:r>
          </w:p>
        </w:tc>
        <w:tc>
          <w:tcPr>
            <w:tcW w:w="561"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0</w:t>
            </w:r>
          </w:p>
        </w:tc>
        <w:tc>
          <w:tcPr>
            <w:tcW w:w="865"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0</w:t>
            </w:r>
          </w:p>
        </w:tc>
        <w:tc>
          <w:tcPr>
            <w:tcW w:w="532"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0</w:t>
            </w:r>
          </w:p>
        </w:tc>
        <w:tc>
          <w:tcPr>
            <w:tcW w:w="817"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0</w:t>
            </w:r>
          </w:p>
        </w:tc>
        <w:tc>
          <w:tcPr>
            <w:tcW w:w="574"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29</w:t>
            </w:r>
          </w:p>
        </w:tc>
        <w:tc>
          <w:tcPr>
            <w:tcW w:w="746"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0.21</w:t>
            </w:r>
          </w:p>
        </w:tc>
        <w:tc>
          <w:tcPr>
            <w:tcW w:w="546"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0</w:t>
            </w:r>
          </w:p>
        </w:tc>
        <w:tc>
          <w:tcPr>
            <w:tcW w:w="841"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0</w:t>
            </w:r>
          </w:p>
        </w:tc>
        <w:tc>
          <w:tcPr>
            <w:tcW w:w="546"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5</w:t>
            </w:r>
          </w:p>
        </w:tc>
        <w:tc>
          <w:tcPr>
            <w:tcW w:w="801"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eastAsia" w:ascii="Times New Roman" w:hAnsi="Times New Roman" w:eastAsia="方正仿宋_GBK" w:cs="Times New Roman"/>
                <w:color w:val="auto"/>
                <w:sz w:val="21"/>
                <w:szCs w:val="21"/>
                <w:highlight w:val="none"/>
                <w:lang w:val="en-US" w:eastAsia="zh"/>
              </w:rPr>
            </w:pPr>
            <w:r>
              <w:rPr>
                <w:rFonts w:hint="eastAsia" w:ascii="宋体" w:hAnsi="宋体" w:eastAsia="宋体" w:cs="宋体"/>
                <w:i w:val="0"/>
                <w:iCs w:val="0"/>
                <w:color w:val="000000"/>
                <w:kern w:val="0"/>
                <w:sz w:val="22"/>
                <w:szCs w:val="22"/>
                <w:highlight w:val="none"/>
                <w:u w:val="none"/>
                <w:lang w:val="en-US" w:eastAsia="zh-CN" w:bidi="ar"/>
              </w:rPr>
              <w:t>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1" w:hRule="atLeast"/>
          <w:tblCellSpacing w:w="0" w:type="dxa"/>
          <w:jc w:val="center"/>
        </w:trPr>
        <w:tc>
          <w:tcPr>
            <w:tcW w:w="816" w:type="dxa"/>
            <w:tcBorders>
              <w:tl2br w:val="nil"/>
              <w:tr2bl w:val="nil"/>
            </w:tcBorders>
            <w:tcMar>
              <w:left w:w="108" w:type="dxa"/>
              <w:right w:w="108" w:type="dxa"/>
            </w:tcMar>
            <w:vAlign w:val="center"/>
          </w:tcPr>
          <w:p>
            <w:pPr>
              <w:pStyle w:val="23"/>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泗洪</w:t>
            </w:r>
          </w:p>
        </w:tc>
        <w:tc>
          <w:tcPr>
            <w:tcW w:w="717"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3</w:t>
            </w:r>
            <w:r>
              <w:rPr>
                <w:rFonts w:hint="eastAsia" w:ascii="宋体" w:hAnsi="宋体" w:cs="宋体"/>
                <w:i w:val="0"/>
                <w:iCs w:val="0"/>
                <w:color w:val="auto"/>
                <w:kern w:val="0"/>
                <w:sz w:val="22"/>
                <w:szCs w:val="22"/>
                <w:highlight w:val="none"/>
                <w:u w:val="none"/>
                <w:lang w:val="en-US" w:eastAsia="zh-CN" w:bidi="ar"/>
              </w:rPr>
              <w:t>4</w:t>
            </w:r>
          </w:p>
        </w:tc>
        <w:tc>
          <w:tcPr>
            <w:tcW w:w="810"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1.04</w:t>
            </w:r>
          </w:p>
        </w:tc>
        <w:tc>
          <w:tcPr>
            <w:tcW w:w="561"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eastAsia="zh-CN"/>
              </w:rPr>
            </w:pPr>
            <w:r>
              <w:rPr>
                <w:rFonts w:hint="eastAsia" w:ascii="宋体" w:hAnsi="宋体" w:cs="宋体"/>
                <w:i w:val="0"/>
                <w:iCs w:val="0"/>
                <w:color w:val="000000"/>
                <w:kern w:val="0"/>
                <w:sz w:val="22"/>
                <w:szCs w:val="22"/>
                <w:highlight w:val="none"/>
                <w:u w:val="none"/>
                <w:lang w:val="en-US" w:eastAsia="zh-CN" w:bidi="ar"/>
              </w:rPr>
              <w:t>0</w:t>
            </w:r>
          </w:p>
        </w:tc>
        <w:tc>
          <w:tcPr>
            <w:tcW w:w="865"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0</w:t>
            </w:r>
          </w:p>
        </w:tc>
        <w:tc>
          <w:tcPr>
            <w:tcW w:w="532"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5</w:t>
            </w:r>
          </w:p>
        </w:tc>
        <w:tc>
          <w:tcPr>
            <w:tcW w:w="817"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0.02</w:t>
            </w:r>
          </w:p>
        </w:tc>
        <w:tc>
          <w:tcPr>
            <w:tcW w:w="574"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highlight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24</w:t>
            </w:r>
          </w:p>
        </w:tc>
        <w:tc>
          <w:tcPr>
            <w:tcW w:w="746"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0.94</w:t>
            </w:r>
          </w:p>
        </w:tc>
        <w:tc>
          <w:tcPr>
            <w:tcW w:w="546"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0</w:t>
            </w:r>
          </w:p>
        </w:tc>
        <w:tc>
          <w:tcPr>
            <w:tcW w:w="841"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0</w:t>
            </w:r>
          </w:p>
        </w:tc>
        <w:tc>
          <w:tcPr>
            <w:tcW w:w="546"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5</w:t>
            </w:r>
          </w:p>
        </w:tc>
        <w:tc>
          <w:tcPr>
            <w:tcW w:w="801" w:type="dxa"/>
            <w:tcBorders>
              <w:tl2br w:val="nil"/>
              <w:tr2bl w:val="nil"/>
            </w:tcBorders>
            <w:tcMar>
              <w:left w:w="108"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color w:val="auto"/>
                <w:sz w:val="21"/>
                <w:szCs w:val="21"/>
                <w:highlight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0.08</w:t>
            </w:r>
          </w:p>
        </w:tc>
      </w:tr>
    </w:tbl>
    <w:p>
      <w:pPr>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2.其他工业客户精准调控方案</w:t>
      </w:r>
    </w:p>
    <w:p>
      <w:pPr>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将不属于高耗能行业的其他所有工业用户均纳入负荷管理预案，充分考虑流程工艺、安全生产等因素，按照不同行业负荷特性，排定企业最大可调负荷，合理设置保安负荷。此方案纳入了我市非高耗能的所有工业用户，合计</w:t>
      </w:r>
      <w:r>
        <w:rPr>
          <w:rFonts w:hint="eastAsia" w:ascii="Times New Roman" w:hAnsi="Times New Roman" w:eastAsia="方正仿宋_GBK" w:cs="Times New Roman"/>
          <w:color w:val="auto"/>
          <w:sz w:val="32"/>
          <w:szCs w:val="32"/>
          <w:highlight w:val="none"/>
          <w:lang w:val="en-US" w:eastAsia="zh-CN"/>
        </w:rPr>
        <w:t>7113</w:t>
      </w:r>
      <w:r>
        <w:rPr>
          <w:rFonts w:hint="default" w:ascii="Times New Roman" w:hAnsi="Times New Roman" w:eastAsia="方正仿宋_GBK" w:cs="Times New Roman"/>
          <w:color w:val="auto"/>
          <w:sz w:val="32"/>
          <w:szCs w:val="32"/>
          <w:highlight w:val="none"/>
        </w:rPr>
        <w:t>户。</w:t>
      </w:r>
      <w:r>
        <w:rPr>
          <w:rFonts w:hint="eastAsia" w:ascii="Times New Roman" w:hAnsi="Times New Roman" w:eastAsia="方正仿宋_GBK" w:cs="Times New Roman"/>
          <w:color w:val="auto"/>
          <w:sz w:val="32"/>
          <w:szCs w:val="32"/>
          <w:highlight w:val="none"/>
          <w:lang w:eastAsia="zh"/>
        </w:rPr>
        <w:t>腰</w:t>
      </w:r>
      <w:r>
        <w:rPr>
          <w:rFonts w:hint="default" w:ascii="Times New Roman" w:hAnsi="Times New Roman" w:eastAsia="方正仿宋_GBK" w:cs="Times New Roman"/>
          <w:color w:val="auto"/>
          <w:sz w:val="32"/>
          <w:szCs w:val="32"/>
          <w:highlight w:val="none"/>
        </w:rPr>
        <w:t>峰</w:t>
      </w:r>
      <w:r>
        <w:rPr>
          <w:rFonts w:hint="eastAsia" w:ascii="Times New Roman" w:hAnsi="Times New Roman" w:eastAsia="方正仿宋_GBK" w:cs="Times New Roman"/>
          <w:color w:val="auto"/>
          <w:sz w:val="32"/>
          <w:szCs w:val="32"/>
          <w:highlight w:val="none"/>
          <w:lang w:eastAsia="zh-CN"/>
        </w:rPr>
        <w:t>最大可调负荷</w:t>
      </w:r>
      <w:r>
        <w:rPr>
          <w:rFonts w:hint="eastAsia" w:ascii="Times New Roman" w:hAnsi="Times New Roman" w:eastAsia="方正仿宋_GBK" w:cs="Times New Roman"/>
          <w:color w:val="auto"/>
          <w:sz w:val="32"/>
          <w:szCs w:val="32"/>
          <w:highlight w:val="none"/>
          <w:lang w:val="en-US" w:eastAsia="zh-CN"/>
        </w:rPr>
        <w:t>164.59</w:t>
      </w:r>
      <w:r>
        <w:rPr>
          <w:rFonts w:hint="default" w:ascii="Times New Roman" w:hAnsi="Times New Roman" w:eastAsia="方正仿宋_GBK" w:cs="Times New Roman"/>
          <w:color w:val="auto"/>
          <w:sz w:val="32"/>
          <w:szCs w:val="32"/>
          <w:highlight w:val="none"/>
        </w:rPr>
        <w:t>万千瓦。其中运河港及港恒配售电公司用户4</w:t>
      </w:r>
      <w:r>
        <w:rPr>
          <w:rFonts w:hint="default" w:ascii="Times New Roman" w:hAnsi="Times New Roman" w:eastAsia="方正仿宋_GBK" w:cs="Times New Roman"/>
          <w:color w:val="auto"/>
          <w:sz w:val="32"/>
          <w:szCs w:val="32"/>
          <w:highlight w:val="none"/>
          <w:lang w:val="en-US" w:eastAsia="zh-CN"/>
        </w:rPr>
        <w:t>8</w:t>
      </w:r>
      <w:r>
        <w:rPr>
          <w:rFonts w:hint="default" w:ascii="Times New Roman" w:hAnsi="Times New Roman" w:eastAsia="方正仿宋_GBK" w:cs="Times New Roman"/>
          <w:color w:val="auto"/>
          <w:sz w:val="32"/>
          <w:szCs w:val="32"/>
          <w:highlight w:val="none"/>
        </w:rPr>
        <w:t>户，</w:t>
      </w:r>
      <w:r>
        <w:rPr>
          <w:rFonts w:hint="eastAsia" w:ascii="Times New Roman" w:hAnsi="Times New Roman" w:eastAsia="方正仿宋_GBK" w:cs="Times New Roman"/>
          <w:color w:val="auto"/>
          <w:sz w:val="32"/>
          <w:szCs w:val="32"/>
          <w:highlight w:val="none"/>
          <w:lang w:eastAsia="zh"/>
        </w:rPr>
        <w:t>腰</w:t>
      </w:r>
      <w:r>
        <w:rPr>
          <w:rFonts w:hint="default" w:ascii="Times New Roman" w:hAnsi="Times New Roman" w:eastAsia="方正仿宋_GBK" w:cs="Times New Roman"/>
          <w:color w:val="auto"/>
          <w:sz w:val="32"/>
          <w:szCs w:val="32"/>
          <w:highlight w:val="none"/>
        </w:rPr>
        <w:t>峰</w:t>
      </w:r>
      <w:r>
        <w:rPr>
          <w:rFonts w:hint="eastAsia" w:ascii="Times New Roman" w:hAnsi="Times New Roman" w:eastAsia="方正仿宋_GBK" w:cs="Times New Roman"/>
          <w:color w:val="auto"/>
          <w:sz w:val="32"/>
          <w:szCs w:val="32"/>
          <w:highlight w:val="none"/>
          <w:lang w:eastAsia="zh-CN"/>
        </w:rPr>
        <w:t>最大可调负荷</w:t>
      </w:r>
      <w:r>
        <w:rPr>
          <w:rFonts w:hint="eastAsia" w:ascii="Times New Roman" w:hAnsi="Times New Roman" w:eastAsia="方正仿宋_GBK" w:cs="Times New Roman"/>
          <w:color w:val="auto"/>
          <w:sz w:val="32"/>
          <w:szCs w:val="32"/>
          <w:highlight w:val="none"/>
          <w:lang w:eastAsia="zh"/>
        </w:rPr>
        <w:t>2.60</w:t>
      </w:r>
      <w:r>
        <w:rPr>
          <w:rFonts w:hint="default" w:ascii="Times New Roman" w:hAnsi="Times New Roman" w:eastAsia="方正仿宋_GBK" w:cs="Times New Roman"/>
          <w:color w:val="auto"/>
          <w:sz w:val="32"/>
          <w:szCs w:val="32"/>
          <w:highlight w:val="none"/>
        </w:rPr>
        <w:t>万千瓦；东开配售电公司用户</w:t>
      </w:r>
      <w:r>
        <w:rPr>
          <w:rFonts w:hint="default" w:ascii="Times New Roman" w:hAnsi="Times New Roman" w:eastAsia="方正仿宋_GBK" w:cs="Times New Roman"/>
          <w:color w:val="auto"/>
          <w:sz w:val="32"/>
          <w:szCs w:val="32"/>
          <w:highlight w:val="none"/>
          <w:lang w:val="en-US" w:eastAsia="zh-CN"/>
        </w:rPr>
        <w:t>4</w:t>
      </w:r>
      <w:r>
        <w:rPr>
          <w:rFonts w:hint="eastAsia" w:ascii="Times New Roman" w:hAnsi="Times New Roman" w:eastAsia="方正仿宋_GBK" w:cs="Times New Roman"/>
          <w:color w:val="auto"/>
          <w:sz w:val="32"/>
          <w:szCs w:val="32"/>
          <w:highlight w:val="none"/>
          <w:lang w:val="en-US" w:eastAsia="zh-CN"/>
        </w:rPr>
        <w:t>1</w:t>
      </w:r>
      <w:r>
        <w:rPr>
          <w:rFonts w:hint="default" w:ascii="Times New Roman" w:hAnsi="Times New Roman" w:eastAsia="方正仿宋_GBK" w:cs="Times New Roman"/>
          <w:color w:val="auto"/>
          <w:sz w:val="32"/>
          <w:szCs w:val="32"/>
          <w:highlight w:val="none"/>
        </w:rPr>
        <w:t>户，</w:t>
      </w:r>
      <w:r>
        <w:rPr>
          <w:rFonts w:hint="eastAsia" w:ascii="Times New Roman" w:hAnsi="Times New Roman" w:eastAsia="方正仿宋_GBK" w:cs="Times New Roman"/>
          <w:color w:val="auto"/>
          <w:sz w:val="32"/>
          <w:szCs w:val="32"/>
          <w:highlight w:val="none"/>
          <w:lang w:eastAsia="zh"/>
        </w:rPr>
        <w:t>腰</w:t>
      </w:r>
      <w:r>
        <w:rPr>
          <w:rFonts w:hint="default" w:ascii="Times New Roman" w:hAnsi="Times New Roman" w:eastAsia="方正仿宋_GBK" w:cs="Times New Roman"/>
          <w:color w:val="auto"/>
          <w:sz w:val="32"/>
          <w:szCs w:val="32"/>
          <w:highlight w:val="none"/>
        </w:rPr>
        <w:t>峰</w:t>
      </w:r>
      <w:r>
        <w:rPr>
          <w:rFonts w:hint="eastAsia" w:ascii="Times New Roman" w:hAnsi="Times New Roman" w:eastAsia="方正仿宋_GBK" w:cs="Times New Roman"/>
          <w:color w:val="auto"/>
          <w:sz w:val="32"/>
          <w:szCs w:val="32"/>
          <w:highlight w:val="none"/>
          <w:lang w:eastAsia="zh-CN"/>
        </w:rPr>
        <w:t>最大可调负荷</w:t>
      </w:r>
      <w:r>
        <w:rPr>
          <w:rFonts w:hint="eastAsia" w:ascii="Times New Roman" w:hAnsi="Times New Roman" w:eastAsia="方正仿宋_GBK" w:cs="Times New Roman"/>
          <w:color w:val="auto"/>
          <w:sz w:val="32"/>
          <w:szCs w:val="32"/>
          <w:highlight w:val="none"/>
          <w:lang w:eastAsia="zh"/>
        </w:rPr>
        <w:t>6.2</w:t>
      </w:r>
      <w:r>
        <w:rPr>
          <w:rFonts w:hint="eastAsia" w:ascii="Times New Roman" w:hAnsi="Times New Roman" w:eastAsia="方正仿宋_GBK" w:cs="Times New Roman"/>
          <w:color w:val="auto"/>
          <w:sz w:val="32"/>
          <w:szCs w:val="32"/>
          <w:highlight w:val="none"/>
          <w:lang w:val="en-US" w:eastAsia="zh-CN"/>
        </w:rPr>
        <w:t>2</w:t>
      </w:r>
      <w:r>
        <w:rPr>
          <w:rFonts w:hint="default" w:ascii="Times New Roman" w:hAnsi="Times New Roman" w:eastAsia="方正仿宋_GBK" w:cs="Times New Roman"/>
          <w:color w:val="auto"/>
          <w:sz w:val="32"/>
          <w:szCs w:val="32"/>
          <w:highlight w:val="none"/>
        </w:rPr>
        <w:t>万千瓦。</w:t>
      </w:r>
    </w:p>
    <w:p>
      <w:pPr>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3.非工业用户柔性调控方案</w:t>
      </w:r>
    </w:p>
    <w:p>
      <w:pPr>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引导各类非工业用户主动参与错峰，深挖非工业负荷调控潜力，编制非工业用户柔性调控方案。组织各级党政机关、事业单位等公共机构主动参与电力需求响应，错开电网负荷高峰用电。在商业楼宇空调、需求侧储能类资源、电动汽车充电桩等领域开展以柔性调节为主导的实时需求响应能力建设。重点开展对全市商业综合体、餐饮住宿（10千伏以上）进行商业领域空调负荷</w:t>
      </w:r>
      <w:r>
        <w:rPr>
          <w:rFonts w:hint="default" w:ascii="Times New Roman" w:hAnsi="Times New Roman" w:eastAsia="方正仿宋_GBK" w:cs="Times New Roman"/>
          <w:color w:val="auto"/>
          <w:sz w:val="32"/>
          <w:szCs w:val="32"/>
          <w:highlight w:val="none"/>
          <w:lang w:val="en-US" w:eastAsia="zh-CN"/>
        </w:rPr>
        <w:t>调节</w:t>
      </w:r>
      <w:r>
        <w:rPr>
          <w:rFonts w:hint="default" w:ascii="Times New Roman" w:hAnsi="Times New Roman" w:eastAsia="方正仿宋_GBK" w:cs="Times New Roman"/>
          <w:color w:val="auto"/>
          <w:sz w:val="32"/>
          <w:szCs w:val="32"/>
          <w:highlight w:val="none"/>
        </w:rPr>
        <w:t>专项工作，引导用户安装空调温度控制装置，采取技术管控及宣传引导等措施将空调温度控制在合理水平。</w:t>
      </w:r>
    </w:p>
    <w:p>
      <w:pPr>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经排查，宿迁地区列入非工柔性方案的用户共</w:t>
      </w:r>
      <w:r>
        <w:rPr>
          <w:rFonts w:hint="eastAsia" w:ascii="Times New Roman" w:hAnsi="Times New Roman" w:eastAsia="方正仿宋_GBK" w:cs="Times New Roman"/>
          <w:color w:val="auto"/>
          <w:sz w:val="32"/>
          <w:szCs w:val="32"/>
          <w:highlight w:val="none"/>
          <w:lang w:val="en-US" w:eastAsia="zh-CN"/>
        </w:rPr>
        <w:t>1371</w:t>
      </w:r>
      <w:r>
        <w:rPr>
          <w:rFonts w:hint="default" w:ascii="Times New Roman" w:hAnsi="Times New Roman" w:eastAsia="方正仿宋_GBK" w:cs="Times New Roman"/>
          <w:color w:val="auto"/>
          <w:sz w:val="32"/>
          <w:szCs w:val="32"/>
          <w:highlight w:val="none"/>
        </w:rPr>
        <w:t>户，</w:t>
      </w:r>
      <w:r>
        <w:rPr>
          <w:rFonts w:hint="eastAsia" w:ascii="Times New Roman" w:hAnsi="Times New Roman" w:eastAsia="方正仿宋_GBK" w:cs="Times New Roman"/>
          <w:color w:val="auto"/>
          <w:sz w:val="32"/>
          <w:szCs w:val="32"/>
          <w:highlight w:val="none"/>
          <w:lang w:eastAsia="zh"/>
        </w:rPr>
        <w:t>腰</w:t>
      </w:r>
      <w:r>
        <w:rPr>
          <w:rFonts w:hint="default" w:ascii="Times New Roman" w:hAnsi="Times New Roman" w:eastAsia="方正仿宋_GBK" w:cs="Times New Roman"/>
          <w:color w:val="auto"/>
          <w:sz w:val="32"/>
          <w:szCs w:val="32"/>
          <w:highlight w:val="none"/>
        </w:rPr>
        <w:t>峰</w:t>
      </w:r>
      <w:r>
        <w:rPr>
          <w:rFonts w:hint="eastAsia" w:ascii="Times New Roman" w:hAnsi="Times New Roman" w:eastAsia="方正仿宋_GBK" w:cs="Times New Roman"/>
          <w:color w:val="auto"/>
          <w:sz w:val="32"/>
          <w:szCs w:val="32"/>
          <w:highlight w:val="none"/>
          <w:lang w:eastAsia="zh-CN"/>
        </w:rPr>
        <w:t>最大可调负荷</w:t>
      </w:r>
      <w:r>
        <w:rPr>
          <w:rFonts w:hint="eastAsia" w:ascii="Times New Roman" w:hAnsi="Times New Roman" w:eastAsia="方正仿宋_GBK" w:cs="Times New Roman"/>
          <w:color w:val="auto"/>
          <w:sz w:val="32"/>
          <w:szCs w:val="32"/>
          <w:highlight w:val="none"/>
          <w:lang w:val="en-US" w:eastAsia="zh-CN"/>
        </w:rPr>
        <w:t>9.77</w:t>
      </w:r>
      <w:r>
        <w:rPr>
          <w:rFonts w:hint="default" w:ascii="Times New Roman" w:hAnsi="Times New Roman" w:eastAsia="方正仿宋_GBK" w:cs="Times New Roman"/>
          <w:color w:val="auto"/>
          <w:sz w:val="32"/>
          <w:szCs w:val="32"/>
          <w:highlight w:val="none"/>
        </w:rPr>
        <w:t>万千瓦。主要包括非工空调、景观亮化（含路灯）、冷库、充电桩用户以及数据中心等类型的用电客户，以柔性调节手段为主，在严重电力缺口时段，在不影响客户正常生产经营的前提下，对部分用电设备采取临时调控措施，达到紧急避峰的效果。</w:t>
      </w:r>
    </w:p>
    <w:p>
      <w:pPr>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4.其他</w:t>
      </w:r>
    </w:p>
    <w:p>
      <w:pPr>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根据“应纳尽纳”的工作原则，为确保公平公正，全市所有高压工业用户均纳入对应方案，商业楼宇（商场、写字楼、宾馆等）、党政机关、事业单位、</w:t>
      </w:r>
      <w:r>
        <w:rPr>
          <w:rFonts w:hint="default" w:ascii="Times New Roman" w:hAnsi="Times New Roman" w:eastAsia="方正仿宋_GBK" w:cs="Times New Roman"/>
          <w:color w:val="auto"/>
          <w:sz w:val="32"/>
          <w:szCs w:val="32"/>
          <w:highlight w:val="none"/>
          <w:lang w:eastAsia="zh-CN"/>
        </w:rPr>
        <w:t>需求侧储能类资源</w:t>
      </w:r>
      <w:r>
        <w:rPr>
          <w:rFonts w:hint="default" w:ascii="Times New Roman" w:hAnsi="Times New Roman" w:eastAsia="方正仿宋_GBK" w:cs="Times New Roman"/>
          <w:color w:val="auto"/>
          <w:sz w:val="32"/>
          <w:szCs w:val="32"/>
          <w:highlight w:val="none"/>
        </w:rPr>
        <w:t>、电动汽车充电桩、大数据中心等具备柔性调节潜力的用户均纳入宿迁市202</w:t>
      </w:r>
      <w:r>
        <w:rPr>
          <w:rFonts w:hint="default" w:ascii="Times New Roman" w:hAnsi="Times New Roman" w:eastAsia="方正仿宋_GBK" w:cs="Times New Roman"/>
          <w:color w:val="auto"/>
          <w:sz w:val="32"/>
          <w:szCs w:val="32"/>
          <w:highlight w:val="none"/>
          <w:lang w:val="en-US" w:eastAsia="zh-CN"/>
        </w:rPr>
        <w:t>5</w:t>
      </w:r>
      <w:r>
        <w:rPr>
          <w:rFonts w:hint="default" w:ascii="Times New Roman" w:hAnsi="Times New Roman" w:eastAsia="方正仿宋_GBK" w:cs="Times New Roman"/>
          <w:color w:val="auto"/>
          <w:sz w:val="32"/>
          <w:szCs w:val="32"/>
          <w:highlight w:val="none"/>
        </w:rPr>
        <w:t>年非工业用户柔性调控方案。</w:t>
      </w:r>
    </w:p>
    <w:p>
      <w:pPr>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新装、增容的工业、非工业用户、方案客户更名过户</w:t>
      </w:r>
      <w:r>
        <w:rPr>
          <w:rFonts w:hint="eastAsia" w:ascii="Times New Roman" w:hAnsi="Times New Roman" w:eastAsia="方正仿宋_GBK" w:cs="Times New Roman"/>
          <w:color w:val="auto"/>
          <w:sz w:val="32"/>
          <w:szCs w:val="32"/>
          <w:highlight w:val="none"/>
          <w:lang w:eastAsia="zh-CN"/>
        </w:rPr>
        <w:t>后的新用</w:t>
      </w:r>
      <w:r>
        <w:rPr>
          <w:rFonts w:hint="default" w:ascii="Times New Roman" w:hAnsi="Times New Roman" w:eastAsia="方正仿宋_GBK" w:cs="Times New Roman"/>
          <w:color w:val="auto"/>
          <w:sz w:val="32"/>
          <w:szCs w:val="32"/>
          <w:highlight w:val="none"/>
        </w:rPr>
        <w:t>户，均动态纳入对应方案；销户用户自动从方案退出；用电性质发生变更的用户（如工业变更为非工业、非工业变更为工业等），动态调整所属子方案类别；对于现阶段因全容量暂停未纳入方案的部分用户，待暂停恢复后自动纳入方案。如省、市政府或其他电力主管部门指定的机构对高耗能行业用户进行重新认定，则根据最新认定情况对各子方案进行动态调整。</w:t>
      </w:r>
    </w:p>
    <w:p>
      <w:pPr>
        <w:pStyle w:val="7"/>
        <w:pageBreakBefore w:val="0"/>
        <w:widowControl w:val="0"/>
        <w:kinsoku/>
        <w:wordWrap/>
        <w:overflowPunct/>
        <w:topLinePunct w:val="0"/>
        <w:autoSpaceDE/>
        <w:autoSpaceDN/>
        <w:bidi w:val="0"/>
        <w:adjustRightInd/>
        <w:snapToGrid/>
        <w:spacing w:line="490" w:lineRule="exact"/>
        <w:textAlignment w:val="auto"/>
        <w:rPr>
          <w:rFonts w:hint="default" w:ascii="Times New Roman" w:hAnsi="Times New Roman" w:eastAsia="方正仿宋_GBK" w:cs="Times New Roman"/>
          <w:color w:val="auto"/>
          <w:sz w:val="32"/>
          <w:szCs w:val="32"/>
          <w:highlight w:val="none"/>
        </w:rPr>
      </w:pPr>
      <w:bookmarkStart w:id="93" w:name="_Toc26045"/>
      <w:r>
        <w:rPr>
          <w:rFonts w:hint="default" w:ascii="Times New Roman" w:hAnsi="Times New Roman" w:eastAsia="方正仿宋_GBK" w:cs="Times New Roman"/>
          <w:color w:val="auto"/>
          <w:sz w:val="32"/>
          <w:szCs w:val="32"/>
          <w:highlight w:val="none"/>
        </w:rPr>
        <w:t xml:space="preserve">4.2.2  </w:t>
      </w:r>
      <w:r>
        <w:rPr>
          <w:rFonts w:hint="eastAsia" w:ascii="Times New Roman" w:hAnsi="Times New Roman" w:eastAsia="方正仿宋_GBK" w:cs="Times New Roman"/>
          <w:color w:val="auto"/>
          <w:sz w:val="32"/>
          <w:szCs w:val="32"/>
          <w:highlight w:val="none"/>
          <w:lang w:val="en-US" w:eastAsia="zh-CN"/>
        </w:rPr>
        <w:t>六</w:t>
      </w:r>
      <w:r>
        <w:rPr>
          <w:rFonts w:hint="default" w:ascii="Times New Roman" w:hAnsi="Times New Roman" w:eastAsia="方正仿宋_GBK" w:cs="Times New Roman"/>
          <w:color w:val="auto"/>
          <w:sz w:val="32"/>
          <w:szCs w:val="32"/>
          <w:highlight w:val="none"/>
        </w:rPr>
        <w:t>个基本负荷管控措施情况</w:t>
      </w:r>
      <w:bookmarkEnd w:id="93"/>
    </w:p>
    <w:p>
      <w:pPr>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1.需求响应措施</w:t>
      </w:r>
    </w:p>
    <w:p>
      <w:pPr>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202</w:t>
      </w:r>
      <w:r>
        <w:rPr>
          <w:rFonts w:hint="default" w:ascii="Times New Roman" w:hAnsi="Times New Roman" w:eastAsia="方正仿宋_GBK" w:cs="Times New Roman"/>
          <w:color w:val="auto"/>
          <w:sz w:val="32"/>
          <w:szCs w:val="32"/>
          <w:highlight w:val="none"/>
          <w:lang w:val="en-US" w:eastAsia="zh-CN"/>
        </w:rPr>
        <w:t>5</w:t>
      </w:r>
      <w:r>
        <w:rPr>
          <w:rFonts w:hint="default" w:ascii="Times New Roman" w:hAnsi="Times New Roman" w:eastAsia="方正仿宋_GBK" w:cs="Times New Roman"/>
          <w:color w:val="auto"/>
          <w:sz w:val="32"/>
          <w:szCs w:val="32"/>
          <w:highlight w:val="none"/>
        </w:rPr>
        <w:t>年，宿迁各县区继续执行“容量补贴+响应补贴”两部制地方需求响应补贴政策，激励电力客户申请需求响应积极性，提升全市快上快下实时需求响应能力。出现电力缺口时，在所有负荷管理措施中首先启动市场化的需求响应予以应对，紧急情况下，直接调用已接入系统控制的实时需求响应资源。需求响应启动调节、工作流程、补贴激励等以省发改委发布的最新版需求响应文件为准。</w:t>
      </w:r>
    </w:p>
    <w:p>
      <w:pPr>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经统计，宿迁地区有意向申报需求响应的客户共计</w:t>
      </w:r>
      <w:r>
        <w:rPr>
          <w:rFonts w:hint="eastAsia" w:ascii="Times New Roman" w:hAnsi="Times New Roman" w:eastAsia="方正仿宋_GBK" w:cs="Times New Roman"/>
          <w:color w:val="auto"/>
          <w:sz w:val="32"/>
          <w:szCs w:val="32"/>
          <w:highlight w:val="none"/>
          <w:lang w:val="en-US" w:eastAsia="zh-CN"/>
        </w:rPr>
        <w:t>3722</w:t>
      </w:r>
      <w:r>
        <w:rPr>
          <w:rFonts w:hint="default" w:ascii="Times New Roman" w:hAnsi="Times New Roman" w:eastAsia="方正仿宋_GBK" w:cs="Times New Roman"/>
          <w:color w:val="auto"/>
          <w:sz w:val="32"/>
          <w:szCs w:val="32"/>
          <w:highlight w:val="none"/>
        </w:rPr>
        <w:t>户，</w:t>
      </w:r>
      <w:r>
        <w:rPr>
          <w:rFonts w:hint="eastAsia" w:ascii="Times New Roman" w:hAnsi="Times New Roman" w:eastAsia="方正仿宋_GBK" w:cs="Times New Roman"/>
          <w:color w:val="auto"/>
          <w:sz w:val="32"/>
          <w:szCs w:val="32"/>
          <w:highlight w:val="none"/>
          <w:lang w:eastAsia="zh"/>
        </w:rPr>
        <w:t>腰峰</w:t>
      </w:r>
      <w:r>
        <w:rPr>
          <w:rFonts w:hint="eastAsia" w:ascii="Times New Roman" w:hAnsi="Times New Roman" w:eastAsia="方正仿宋_GBK" w:cs="Times New Roman"/>
          <w:color w:val="auto"/>
          <w:sz w:val="32"/>
          <w:szCs w:val="32"/>
          <w:highlight w:val="none"/>
          <w:lang w:eastAsia="zh-CN"/>
        </w:rPr>
        <w:t>最大可调负荷</w:t>
      </w:r>
      <w:r>
        <w:rPr>
          <w:rFonts w:hint="default" w:ascii="Times New Roman" w:hAnsi="Times New Roman" w:eastAsia="方正仿宋_GBK" w:cs="Times New Roman"/>
          <w:color w:val="auto"/>
          <w:sz w:val="32"/>
          <w:szCs w:val="32"/>
          <w:highlight w:val="none"/>
          <w:lang w:val="en-US" w:eastAsia="zh-CN"/>
        </w:rPr>
        <w:t>6</w:t>
      </w:r>
      <w:r>
        <w:rPr>
          <w:rFonts w:hint="eastAsia" w:ascii="Times New Roman" w:hAnsi="Times New Roman" w:eastAsia="方正仿宋_GBK" w:cs="Times New Roman"/>
          <w:color w:val="auto"/>
          <w:sz w:val="32"/>
          <w:szCs w:val="32"/>
          <w:highlight w:val="none"/>
          <w:lang w:val="en-US" w:eastAsia="zh-CN"/>
        </w:rPr>
        <w:t>4.38</w:t>
      </w:r>
      <w:r>
        <w:rPr>
          <w:rFonts w:hint="default" w:ascii="Times New Roman" w:hAnsi="Times New Roman" w:eastAsia="方正仿宋_GBK" w:cs="Times New Roman"/>
          <w:color w:val="auto"/>
          <w:sz w:val="32"/>
          <w:szCs w:val="32"/>
          <w:highlight w:val="none"/>
        </w:rPr>
        <w:t>万千瓦，远超省发改委下达的约定需求响应容量指标（</w:t>
      </w:r>
      <w:r>
        <w:rPr>
          <w:rFonts w:hint="default" w:ascii="Times New Roman" w:hAnsi="Times New Roman" w:eastAsia="方正仿宋_GBK" w:cs="Times New Roman"/>
          <w:color w:val="auto"/>
          <w:sz w:val="32"/>
          <w:szCs w:val="32"/>
          <w:highlight w:val="none"/>
          <w:lang w:val="en-US" w:eastAsia="zh-CN"/>
        </w:rPr>
        <w:t>33</w:t>
      </w:r>
      <w:r>
        <w:rPr>
          <w:rFonts w:hint="default" w:ascii="Times New Roman" w:hAnsi="Times New Roman" w:eastAsia="方正仿宋_GBK" w:cs="Times New Roman"/>
          <w:color w:val="auto"/>
          <w:sz w:val="32"/>
          <w:szCs w:val="32"/>
          <w:highlight w:val="none"/>
        </w:rPr>
        <w:t>万千瓦）指标。</w:t>
      </w:r>
    </w:p>
    <w:p>
      <w:pPr>
        <w:keepNext w:val="0"/>
        <w:keepLines w:val="0"/>
        <w:pageBreakBefore w:val="0"/>
        <w:widowControl w:val="0"/>
        <w:kinsoku/>
        <w:wordWrap/>
        <w:overflowPunct/>
        <w:topLinePunct w:val="0"/>
        <w:autoSpaceDE/>
        <w:autoSpaceDN/>
        <w:bidi w:val="0"/>
        <w:adjustRightInd/>
        <w:snapToGrid/>
        <w:spacing w:line="50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其中，运河港及</w:t>
      </w:r>
      <w:r>
        <w:rPr>
          <w:rFonts w:hint="default" w:ascii="Times New Roman" w:hAnsi="Times New Roman" w:eastAsia="方正仿宋_GBK" w:cs="Times New Roman"/>
          <w:color w:val="auto"/>
          <w:sz w:val="32"/>
          <w:szCs w:val="32"/>
          <w:highlight w:val="none"/>
          <w:lang w:val="en-US" w:eastAsia="zh-CN"/>
        </w:rPr>
        <w:t>港恒</w:t>
      </w:r>
      <w:r>
        <w:rPr>
          <w:rFonts w:hint="default" w:ascii="Times New Roman" w:hAnsi="Times New Roman" w:eastAsia="方正仿宋_GBK" w:cs="Times New Roman"/>
          <w:color w:val="auto"/>
          <w:sz w:val="32"/>
          <w:szCs w:val="32"/>
          <w:highlight w:val="none"/>
        </w:rPr>
        <w:t>配售电公司用户</w:t>
      </w:r>
      <w:r>
        <w:rPr>
          <w:rFonts w:hint="default" w:ascii="Times New Roman" w:hAnsi="Times New Roman" w:eastAsia="方正仿宋_GBK" w:cs="Times New Roman"/>
          <w:color w:val="auto"/>
          <w:sz w:val="32"/>
          <w:szCs w:val="32"/>
          <w:highlight w:val="none"/>
          <w:lang w:val="en-US" w:eastAsia="zh-CN"/>
        </w:rPr>
        <w:t>4</w:t>
      </w:r>
      <w:r>
        <w:rPr>
          <w:rFonts w:hint="eastAsia" w:ascii="Times New Roman" w:hAnsi="Times New Roman" w:eastAsia="方正仿宋_GBK" w:cs="Times New Roman"/>
          <w:color w:val="auto"/>
          <w:sz w:val="32"/>
          <w:szCs w:val="32"/>
          <w:highlight w:val="none"/>
          <w:lang w:val="en-US" w:eastAsia="zh-CN"/>
        </w:rPr>
        <w:t>7</w:t>
      </w:r>
      <w:r>
        <w:rPr>
          <w:rFonts w:hint="default" w:ascii="Times New Roman" w:hAnsi="Times New Roman" w:eastAsia="方正仿宋_GBK" w:cs="Times New Roman"/>
          <w:color w:val="auto"/>
          <w:sz w:val="32"/>
          <w:szCs w:val="32"/>
          <w:highlight w:val="none"/>
        </w:rPr>
        <w:t>户，计划申报响应容量</w:t>
      </w:r>
      <w:r>
        <w:rPr>
          <w:rFonts w:hint="eastAsia" w:ascii="Times New Roman" w:hAnsi="Times New Roman" w:eastAsia="方正仿宋_GBK" w:cs="Times New Roman"/>
          <w:color w:val="auto"/>
          <w:sz w:val="32"/>
          <w:szCs w:val="32"/>
          <w:highlight w:val="none"/>
          <w:lang w:val="en-US" w:eastAsia="zh-CN"/>
        </w:rPr>
        <w:t>1.23</w:t>
      </w:r>
      <w:r>
        <w:rPr>
          <w:rFonts w:hint="default" w:ascii="Times New Roman" w:hAnsi="Times New Roman" w:eastAsia="方正仿宋_GBK" w:cs="Times New Roman"/>
          <w:color w:val="auto"/>
          <w:sz w:val="32"/>
          <w:szCs w:val="32"/>
          <w:highlight w:val="none"/>
        </w:rPr>
        <w:t>万千瓦；东开配售电公司用户3</w:t>
      </w:r>
      <w:r>
        <w:rPr>
          <w:rFonts w:hint="eastAsia" w:ascii="Times New Roman" w:hAnsi="Times New Roman" w:eastAsia="方正仿宋_GBK" w:cs="Times New Roman"/>
          <w:color w:val="auto"/>
          <w:sz w:val="32"/>
          <w:szCs w:val="32"/>
          <w:highlight w:val="none"/>
          <w:lang w:val="en-US" w:eastAsia="zh-CN"/>
        </w:rPr>
        <w:t>4</w:t>
      </w:r>
      <w:r>
        <w:rPr>
          <w:rFonts w:hint="default" w:ascii="Times New Roman" w:hAnsi="Times New Roman" w:eastAsia="方正仿宋_GBK" w:cs="Times New Roman"/>
          <w:color w:val="auto"/>
          <w:sz w:val="32"/>
          <w:szCs w:val="32"/>
          <w:highlight w:val="none"/>
        </w:rPr>
        <w:t>户，计划申报响应容量2.</w:t>
      </w:r>
      <w:r>
        <w:rPr>
          <w:rFonts w:hint="default" w:ascii="Times New Roman" w:hAnsi="Times New Roman" w:eastAsia="方正仿宋_GBK" w:cs="Times New Roman"/>
          <w:color w:val="auto"/>
          <w:sz w:val="32"/>
          <w:szCs w:val="32"/>
          <w:highlight w:val="none"/>
          <w:lang w:val="en-US" w:eastAsia="zh-CN"/>
        </w:rPr>
        <w:t>21</w:t>
      </w:r>
      <w:r>
        <w:rPr>
          <w:rFonts w:hint="default" w:ascii="Times New Roman" w:hAnsi="Times New Roman" w:eastAsia="方正仿宋_GBK" w:cs="Times New Roman"/>
          <w:color w:val="auto"/>
          <w:sz w:val="32"/>
          <w:szCs w:val="32"/>
          <w:highlight w:val="none"/>
        </w:rPr>
        <w:t>万千瓦。</w:t>
      </w:r>
    </w:p>
    <w:p>
      <w:pPr>
        <w:pStyle w:val="22"/>
        <w:keepNext w:val="0"/>
        <w:keepLines w:val="0"/>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ascii="Times New Roman" w:hAnsi="Times New Roman" w:eastAsia="黑体" w:cs="Times New Roman"/>
          <w:b w:val="0"/>
          <w:bCs/>
          <w:color w:val="auto"/>
          <w:sz w:val="21"/>
          <w:szCs w:val="21"/>
          <w:highlight w:val="none"/>
        </w:rPr>
      </w:pPr>
      <w:bookmarkStart w:id="94" w:name="_Toc15158"/>
    </w:p>
    <w:p>
      <w:pPr>
        <w:pStyle w:val="22"/>
        <w:keepNext/>
        <w:keepLines/>
        <w:pageBreakBefore w:val="0"/>
        <w:widowControl w:val="0"/>
        <w:kinsoku/>
        <w:wordWrap/>
        <w:overflowPunct/>
        <w:topLinePunct w:val="0"/>
        <w:autoSpaceDE/>
        <w:autoSpaceDN/>
        <w:bidi w:val="0"/>
        <w:adjustRightInd/>
        <w:snapToGrid/>
        <w:spacing w:before="0" w:beforeLines="0" w:after="156"/>
        <w:textAlignment w:val="auto"/>
        <w:rPr>
          <w:rFonts w:hint="default" w:ascii="Times New Roman" w:hAnsi="Times New Roman" w:eastAsia="黑体" w:cs="Times New Roman"/>
          <w:b w:val="0"/>
          <w:bCs/>
          <w:color w:val="auto"/>
          <w:sz w:val="21"/>
          <w:szCs w:val="21"/>
          <w:highlight w:val="none"/>
        </w:rPr>
      </w:pPr>
      <w:r>
        <w:rPr>
          <w:rFonts w:hint="default" w:ascii="Times New Roman" w:hAnsi="Times New Roman" w:eastAsia="黑体" w:cs="Times New Roman"/>
          <w:b w:val="0"/>
          <w:bCs/>
          <w:color w:val="auto"/>
          <w:sz w:val="21"/>
          <w:szCs w:val="21"/>
          <w:highlight w:val="none"/>
        </w:rPr>
        <w:t>表8：需求响应措施统计表</w:t>
      </w:r>
      <w:bookmarkEnd w:id="94"/>
    </w:p>
    <w:p>
      <w:pPr>
        <w:pStyle w:val="2"/>
        <w:keepNext w:val="0"/>
        <w:keepLines w:val="0"/>
        <w:pageBreakBefore w:val="0"/>
        <w:widowControl w:val="0"/>
        <w:kinsoku/>
        <w:wordWrap/>
        <w:overflowPunct/>
        <w:topLinePunct w:val="0"/>
        <w:autoSpaceDE/>
        <w:autoSpaceDN/>
        <w:bidi w:val="0"/>
        <w:adjustRightInd/>
        <w:snapToGrid/>
        <w:spacing w:line="300" w:lineRule="exact"/>
        <w:ind w:firstLine="482"/>
        <w:jc w:val="right"/>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单位：户、万千瓦</w:t>
      </w:r>
    </w:p>
    <w:tbl>
      <w:tblPr>
        <w:tblStyle w:val="13"/>
        <w:tblW w:w="85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3580"/>
        <w:gridCol w:w="1564"/>
        <w:gridCol w:w="34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65" w:hRule="exact"/>
        </w:trPr>
        <w:tc>
          <w:tcPr>
            <w:tcW w:w="358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b/>
                <w:bCs/>
                <w:color w:val="auto"/>
                <w:sz w:val="21"/>
                <w:szCs w:val="21"/>
                <w:highlight w:val="none"/>
                <w:lang w:val="en-US" w:eastAsia="zh-CN"/>
              </w:rPr>
            </w:pPr>
            <w:r>
              <w:rPr>
                <w:rFonts w:hint="default" w:ascii="Times New Roman" w:hAnsi="Times New Roman" w:eastAsia="方正仿宋_GBK" w:cs="Times New Roman"/>
                <w:b/>
                <w:bCs/>
                <w:color w:val="auto"/>
                <w:sz w:val="21"/>
                <w:szCs w:val="21"/>
                <w:highlight w:val="none"/>
                <w:lang w:val="en-US" w:eastAsia="zh-CN"/>
              </w:rPr>
              <w:t>县区</w:t>
            </w:r>
          </w:p>
        </w:tc>
        <w:tc>
          <w:tcPr>
            <w:tcW w:w="156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lang w:val="en-US" w:eastAsia="zh-CN"/>
              </w:rPr>
              <w:t>户数</w:t>
            </w:r>
          </w:p>
        </w:tc>
        <w:tc>
          <w:tcPr>
            <w:tcW w:w="3415"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b/>
                <w:bCs/>
                <w:color w:val="auto"/>
                <w:sz w:val="21"/>
                <w:szCs w:val="21"/>
                <w:highlight w:val="none"/>
              </w:rPr>
            </w:pPr>
            <w:r>
              <w:rPr>
                <w:rFonts w:hint="eastAsia" w:ascii="Times New Roman" w:hAnsi="Times New Roman" w:eastAsia="方正仿宋_GBK" w:cs="Times New Roman"/>
                <w:b/>
                <w:bCs/>
                <w:color w:val="auto"/>
                <w:sz w:val="21"/>
                <w:szCs w:val="21"/>
                <w:highlight w:val="none"/>
                <w:lang w:val="en-US" w:eastAsia="zh-CN"/>
              </w:rPr>
              <w:t>最大可调节负荷</w:t>
            </w:r>
            <w:r>
              <w:rPr>
                <w:rFonts w:hint="default" w:ascii="Times New Roman" w:hAnsi="Times New Roman" w:eastAsia="方正仿宋_GBK" w:cs="Times New Roman"/>
                <w:b/>
                <w:bCs/>
                <w:color w:val="auto"/>
                <w:sz w:val="21"/>
                <w:szCs w:val="21"/>
                <w:highlight w:val="none"/>
                <w:lang w:val="en-US" w:eastAsia="zh-CN"/>
              </w:rPr>
              <w:br w:type="textWrapping"/>
            </w:r>
            <w:r>
              <w:rPr>
                <w:rFonts w:hint="default" w:ascii="Times New Roman" w:hAnsi="Times New Roman" w:eastAsia="方正仿宋_GBK" w:cs="Times New Roman"/>
                <w:b/>
                <w:bCs/>
                <w:color w:val="auto"/>
                <w:sz w:val="21"/>
                <w:szCs w:val="21"/>
                <w:highlight w:val="none"/>
                <w:lang w:val="en-US" w:eastAsia="zh-CN"/>
              </w:rPr>
              <w:t>（取</w:t>
            </w:r>
            <w:r>
              <w:rPr>
                <w:rFonts w:hint="eastAsia" w:ascii="Times New Roman" w:hAnsi="Times New Roman" w:eastAsia="方正仿宋_GBK" w:cs="Times New Roman"/>
                <w:b/>
                <w:bCs/>
                <w:color w:val="auto"/>
                <w:sz w:val="21"/>
                <w:szCs w:val="21"/>
                <w:highlight w:val="none"/>
                <w:lang w:val="en-US" w:eastAsia="zh"/>
              </w:rPr>
              <w:t>腰</w:t>
            </w:r>
            <w:r>
              <w:rPr>
                <w:rFonts w:hint="default" w:ascii="Times New Roman" w:hAnsi="Times New Roman" w:eastAsia="方正仿宋_GBK" w:cs="Times New Roman"/>
                <w:b/>
                <w:bCs/>
                <w:color w:val="auto"/>
                <w:sz w:val="21"/>
                <w:szCs w:val="21"/>
                <w:highlight w:val="none"/>
                <w:lang w:val="en-US" w:eastAsia="zh-CN"/>
              </w:rPr>
              <w:t>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20" w:hRule="exact"/>
        </w:trPr>
        <w:tc>
          <w:tcPr>
            <w:tcW w:w="358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lang w:val="en-US" w:eastAsia="zh-CN"/>
              </w:rPr>
              <w:t>全市</w:t>
            </w:r>
          </w:p>
        </w:tc>
        <w:tc>
          <w:tcPr>
            <w:tcW w:w="156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3722</w:t>
            </w:r>
          </w:p>
        </w:tc>
        <w:tc>
          <w:tcPr>
            <w:tcW w:w="3415"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64.37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20" w:hRule="exact"/>
        </w:trPr>
        <w:tc>
          <w:tcPr>
            <w:tcW w:w="358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lang w:val="en-US" w:eastAsia="zh-CN"/>
              </w:rPr>
              <w:t>宿豫</w:t>
            </w:r>
          </w:p>
        </w:tc>
        <w:tc>
          <w:tcPr>
            <w:tcW w:w="15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firstLine="630" w:firstLineChars="300"/>
              <w:jc w:val="both"/>
              <w:textAlignment w:val="center"/>
              <w:rPr>
                <w:rFonts w:hint="default" w:ascii="Times New Roman" w:hAnsi="Times New Roman" w:eastAsia="方正仿宋_GBK" w:cs="Times New Roman"/>
                <w:b w:val="0"/>
                <w:bCs w:val="0"/>
                <w:color w:val="auto"/>
                <w:sz w:val="21"/>
                <w:szCs w:val="21"/>
                <w:highlight w:val="none"/>
                <w:lang w:val="en-US" w:eastAsia="zh-CN"/>
              </w:rPr>
            </w:pPr>
            <w:r>
              <w:rPr>
                <w:rFonts w:hint="default" w:ascii="Times New Roman" w:hAnsi="Times New Roman" w:eastAsia="方正仿宋_GBK" w:cs="Times New Roman"/>
                <w:b w:val="0"/>
                <w:bCs w:val="0"/>
                <w:color w:val="auto"/>
                <w:kern w:val="2"/>
                <w:sz w:val="21"/>
                <w:szCs w:val="21"/>
                <w:highlight w:val="none"/>
                <w:lang w:val="en-US" w:eastAsia="zh-CN" w:bidi="ar-SA"/>
              </w:rPr>
              <w:t xml:space="preserve">389 </w:t>
            </w:r>
          </w:p>
        </w:tc>
        <w:tc>
          <w:tcPr>
            <w:tcW w:w="3415"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6.50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20" w:hRule="exact"/>
        </w:trPr>
        <w:tc>
          <w:tcPr>
            <w:tcW w:w="358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lang w:val="en-US" w:eastAsia="zh-CN"/>
              </w:rPr>
              <w:t>宿城</w:t>
            </w:r>
          </w:p>
        </w:tc>
        <w:tc>
          <w:tcPr>
            <w:tcW w:w="156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default" w:ascii="Times New Roman" w:hAnsi="Times New Roman" w:eastAsia="方正仿宋_GBK" w:cs="Times New Roman"/>
                <w:b w:val="0"/>
                <w:bCs w:val="0"/>
                <w:color w:val="auto"/>
                <w:sz w:val="21"/>
                <w:szCs w:val="21"/>
                <w:highlight w:val="none"/>
                <w:lang w:val="en-US" w:eastAsia="zh-CN"/>
              </w:rPr>
              <w:t>701</w:t>
            </w:r>
          </w:p>
        </w:tc>
        <w:tc>
          <w:tcPr>
            <w:tcW w:w="3415"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8.46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20" w:hRule="exact"/>
        </w:trPr>
        <w:tc>
          <w:tcPr>
            <w:tcW w:w="358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b w:val="0"/>
                <w:bCs w:val="0"/>
                <w:color w:val="auto"/>
                <w:sz w:val="21"/>
                <w:szCs w:val="21"/>
                <w:highlight w:val="none"/>
              </w:rPr>
            </w:pPr>
            <w:r>
              <w:rPr>
                <w:rFonts w:hint="default" w:ascii="Times New Roman" w:hAnsi="Times New Roman" w:eastAsia="方正仿宋_GBK" w:cs="Times New Roman"/>
                <w:b w:val="0"/>
                <w:bCs w:val="0"/>
                <w:color w:val="auto"/>
                <w:sz w:val="21"/>
                <w:szCs w:val="21"/>
                <w:highlight w:val="none"/>
                <w:lang w:val="en-US" w:eastAsia="zh-CN"/>
              </w:rPr>
              <w:t>其中增量配电网</w:t>
            </w:r>
          </w:p>
        </w:tc>
        <w:tc>
          <w:tcPr>
            <w:tcW w:w="156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47</w:t>
            </w:r>
          </w:p>
        </w:tc>
        <w:tc>
          <w:tcPr>
            <w:tcW w:w="3415"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20" w:hRule="exact"/>
        </w:trPr>
        <w:tc>
          <w:tcPr>
            <w:tcW w:w="358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lang w:val="en-US" w:eastAsia="zh-CN"/>
              </w:rPr>
              <w:t>沭阳</w:t>
            </w:r>
          </w:p>
        </w:tc>
        <w:tc>
          <w:tcPr>
            <w:tcW w:w="156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853</w:t>
            </w:r>
          </w:p>
        </w:tc>
        <w:tc>
          <w:tcPr>
            <w:tcW w:w="3415"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22.87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20" w:hRule="exact"/>
        </w:trPr>
        <w:tc>
          <w:tcPr>
            <w:tcW w:w="358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lang w:val="en-US" w:eastAsia="zh-CN"/>
              </w:rPr>
              <w:t>泗阳</w:t>
            </w:r>
          </w:p>
        </w:tc>
        <w:tc>
          <w:tcPr>
            <w:tcW w:w="156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804</w:t>
            </w:r>
          </w:p>
        </w:tc>
        <w:tc>
          <w:tcPr>
            <w:tcW w:w="3415"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12.07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20" w:hRule="exact"/>
        </w:trPr>
        <w:tc>
          <w:tcPr>
            <w:tcW w:w="358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b w:val="0"/>
                <w:bCs w:val="0"/>
                <w:color w:val="auto"/>
                <w:sz w:val="21"/>
                <w:szCs w:val="21"/>
                <w:highlight w:val="none"/>
              </w:rPr>
            </w:pPr>
            <w:r>
              <w:rPr>
                <w:rFonts w:hint="default" w:ascii="Times New Roman" w:hAnsi="Times New Roman" w:eastAsia="方正仿宋_GBK" w:cs="Times New Roman"/>
                <w:b w:val="0"/>
                <w:bCs w:val="0"/>
                <w:color w:val="auto"/>
                <w:sz w:val="21"/>
                <w:szCs w:val="21"/>
                <w:highlight w:val="none"/>
                <w:lang w:val="en-US" w:eastAsia="zh-CN"/>
              </w:rPr>
              <w:t>其中增量配电网</w:t>
            </w:r>
          </w:p>
        </w:tc>
        <w:tc>
          <w:tcPr>
            <w:tcW w:w="156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34</w:t>
            </w:r>
          </w:p>
        </w:tc>
        <w:tc>
          <w:tcPr>
            <w:tcW w:w="3415"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2.21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20" w:hRule="exact"/>
        </w:trPr>
        <w:tc>
          <w:tcPr>
            <w:tcW w:w="358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b w:val="0"/>
                <w:bCs w:val="0"/>
                <w:color w:val="auto"/>
                <w:sz w:val="21"/>
                <w:szCs w:val="21"/>
                <w:highlight w:val="none"/>
              </w:rPr>
            </w:pPr>
            <w:r>
              <w:rPr>
                <w:rFonts w:hint="default" w:ascii="Times New Roman" w:hAnsi="Times New Roman" w:eastAsia="方正仿宋_GBK" w:cs="Times New Roman"/>
                <w:b/>
                <w:bCs/>
                <w:color w:val="auto"/>
                <w:sz w:val="21"/>
                <w:szCs w:val="21"/>
                <w:highlight w:val="none"/>
                <w:lang w:val="en-US" w:eastAsia="zh-CN"/>
              </w:rPr>
              <w:t>泗洪</w:t>
            </w:r>
          </w:p>
        </w:tc>
        <w:tc>
          <w:tcPr>
            <w:tcW w:w="156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975</w:t>
            </w:r>
          </w:p>
        </w:tc>
        <w:tc>
          <w:tcPr>
            <w:tcW w:w="3415"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14.47</w:t>
            </w:r>
          </w:p>
        </w:tc>
      </w:tr>
    </w:tbl>
    <w:p>
      <w:pPr>
        <w:pStyle w:val="2"/>
        <w:spacing w:before="156" w:beforeLines="50" w:after="156" w:afterLines="50"/>
        <w:ind w:firstLine="0" w:firstLineChars="0"/>
        <w:jc w:val="center"/>
        <w:rPr>
          <w:rFonts w:hint="default" w:ascii="Times New Roman" w:hAnsi="Times New Roman" w:eastAsia="黑体" w:cs="Times New Roman"/>
          <w:b w:val="0"/>
          <w:bCs w:val="0"/>
          <w:color w:val="auto"/>
          <w:sz w:val="21"/>
          <w:szCs w:val="21"/>
          <w:highlight w:val="none"/>
        </w:rPr>
      </w:pPr>
      <w:bookmarkStart w:id="95" w:name="_Toc15107"/>
      <w:r>
        <w:rPr>
          <w:rStyle w:val="24"/>
          <w:rFonts w:hint="default" w:ascii="Times New Roman" w:hAnsi="Times New Roman" w:eastAsia="黑体" w:cs="Times New Roman"/>
          <w:b w:val="0"/>
          <w:bCs w:val="0"/>
          <w:color w:val="auto"/>
          <w:sz w:val="21"/>
          <w:szCs w:val="21"/>
          <w:highlight w:val="none"/>
        </w:rPr>
        <w:t>表9：各县区需求响应意向性申报用户统计表</w:t>
      </w:r>
      <w:bookmarkEnd w:id="95"/>
    </w:p>
    <w:tbl>
      <w:tblPr>
        <w:tblStyle w:val="13"/>
        <w:tblW w:w="86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7"/>
        <w:gridCol w:w="1518"/>
        <w:gridCol w:w="3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blHeader/>
          <w:jc w:val="center"/>
        </w:trPr>
        <w:tc>
          <w:tcPr>
            <w:tcW w:w="3697" w:type="dxa"/>
            <w:vAlign w:val="center"/>
          </w:tcPr>
          <w:p>
            <w:pPr>
              <w:pStyle w:val="23"/>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辖市区/需求响应负荷类型</w:t>
            </w:r>
          </w:p>
        </w:tc>
        <w:tc>
          <w:tcPr>
            <w:tcW w:w="1518" w:type="dxa"/>
            <w:vAlign w:val="center"/>
          </w:tcPr>
          <w:p>
            <w:pPr>
              <w:pStyle w:val="23"/>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户数（户）</w:t>
            </w:r>
          </w:p>
        </w:tc>
        <w:tc>
          <w:tcPr>
            <w:tcW w:w="3433" w:type="dxa"/>
            <w:vAlign w:val="center"/>
          </w:tcPr>
          <w:p>
            <w:pPr>
              <w:pStyle w:val="23"/>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意向签约需求响应量（万千瓦）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3697" w:type="dxa"/>
            <w:vAlign w:val="center"/>
          </w:tcPr>
          <w:p>
            <w:pPr>
              <w:pStyle w:val="23"/>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b/>
                <w:bCs/>
                <w:color w:val="auto"/>
                <w:sz w:val="21"/>
                <w:szCs w:val="21"/>
                <w:highlight w:val="none"/>
              </w:rPr>
              <w:t>1.宿豫区</w:t>
            </w:r>
          </w:p>
        </w:tc>
        <w:tc>
          <w:tcPr>
            <w:tcW w:w="1518" w:type="dxa"/>
            <w:vAlign w:val="center"/>
          </w:tcPr>
          <w:p>
            <w:pPr>
              <w:pStyle w:val="23"/>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1</w:t>
            </w:r>
            <w:r>
              <w:rPr>
                <w:rFonts w:hint="default" w:ascii="Times New Roman" w:hAnsi="Times New Roman" w:eastAsia="方正仿宋_GBK" w:cs="Times New Roman"/>
                <w:color w:val="auto"/>
                <w:sz w:val="21"/>
                <w:szCs w:val="21"/>
                <w:highlight w:val="none"/>
                <w:lang w:val="en-US" w:eastAsia="zh-CN"/>
              </w:rPr>
              <w:t>70</w:t>
            </w:r>
          </w:p>
        </w:tc>
        <w:tc>
          <w:tcPr>
            <w:tcW w:w="3433" w:type="dxa"/>
            <w:vAlign w:val="center"/>
          </w:tcPr>
          <w:p>
            <w:pPr>
              <w:pStyle w:val="23"/>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6.49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3697" w:type="dxa"/>
            <w:vAlign w:val="center"/>
          </w:tcPr>
          <w:p>
            <w:pPr>
              <w:pStyle w:val="23"/>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非工组</w:t>
            </w:r>
          </w:p>
        </w:tc>
        <w:tc>
          <w:tcPr>
            <w:tcW w:w="1518" w:type="dxa"/>
            <w:vAlign w:val="center"/>
          </w:tcPr>
          <w:p>
            <w:pPr>
              <w:pStyle w:val="23"/>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34</w:t>
            </w:r>
          </w:p>
        </w:tc>
        <w:tc>
          <w:tcPr>
            <w:tcW w:w="3433" w:type="dxa"/>
            <w:vAlign w:val="center"/>
          </w:tcPr>
          <w:p>
            <w:pPr>
              <w:pStyle w:val="23"/>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0.</w:t>
            </w:r>
            <w:r>
              <w:rPr>
                <w:rFonts w:hint="default" w:ascii="Times New Roman" w:hAnsi="Times New Roman" w:eastAsia="方正仿宋_GBK" w:cs="Times New Roman"/>
                <w:color w:val="auto"/>
                <w:sz w:val="21"/>
                <w:szCs w:val="21"/>
                <w:highlight w:val="none"/>
                <w:lang w:val="en-US" w:eastAsia="zh-CN"/>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3697" w:type="dxa"/>
            <w:vAlign w:val="center"/>
          </w:tcPr>
          <w:p>
            <w:pPr>
              <w:pStyle w:val="23"/>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高耗能行业</w:t>
            </w:r>
          </w:p>
        </w:tc>
        <w:tc>
          <w:tcPr>
            <w:tcW w:w="1518" w:type="dxa"/>
            <w:vAlign w:val="center"/>
          </w:tcPr>
          <w:p>
            <w:pPr>
              <w:pStyle w:val="23"/>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47</w:t>
            </w:r>
          </w:p>
        </w:tc>
        <w:tc>
          <w:tcPr>
            <w:tcW w:w="3433" w:type="dxa"/>
            <w:vAlign w:val="center"/>
          </w:tcPr>
          <w:p>
            <w:pPr>
              <w:pStyle w:val="23"/>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3697" w:type="dxa"/>
            <w:vAlign w:val="center"/>
          </w:tcPr>
          <w:p>
            <w:pPr>
              <w:pStyle w:val="23"/>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其他工业</w:t>
            </w:r>
          </w:p>
        </w:tc>
        <w:tc>
          <w:tcPr>
            <w:tcW w:w="1518" w:type="dxa"/>
            <w:vAlign w:val="center"/>
          </w:tcPr>
          <w:p>
            <w:pPr>
              <w:pStyle w:val="23"/>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89</w:t>
            </w:r>
          </w:p>
        </w:tc>
        <w:tc>
          <w:tcPr>
            <w:tcW w:w="3433" w:type="dxa"/>
            <w:vAlign w:val="center"/>
          </w:tcPr>
          <w:p>
            <w:pPr>
              <w:pStyle w:val="23"/>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3697" w:type="dxa"/>
            <w:shd w:val="clear" w:color="auto" w:fill="auto"/>
            <w:vAlign w:val="center"/>
          </w:tcPr>
          <w:p>
            <w:pPr>
              <w:pStyle w:val="23"/>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b/>
                <w:bCs/>
                <w:color w:val="auto"/>
                <w:sz w:val="21"/>
                <w:szCs w:val="21"/>
                <w:highlight w:val="none"/>
              </w:rPr>
              <w:t>2.</w:t>
            </w:r>
            <w:r>
              <w:rPr>
                <w:rFonts w:hint="default" w:ascii="Times New Roman" w:hAnsi="Times New Roman" w:eastAsia="方正仿宋_GBK" w:cs="Times New Roman"/>
                <w:b/>
                <w:bCs/>
                <w:color w:val="auto"/>
                <w:sz w:val="21"/>
                <w:szCs w:val="21"/>
                <w:highlight w:val="none"/>
                <w:lang w:val="en-US" w:eastAsia="zh-CN"/>
              </w:rPr>
              <w:t>宿城区</w:t>
            </w:r>
          </w:p>
        </w:tc>
        <w:tc>
          <w:tcPr>
            <w:tcW w:w="1518" w:type="dxa"/>
            <w:shd w:val="clear" w:color="auto" w:fill="auto"/>
            <w:vAlign w:val="center"/>
          </w:tcPr>
          <w:p>
            <w:pPr>
              <w:pStyle w:val="23"/>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227</w:t>
            </w:r>
          </w:p>
        </w:tc>
        <w:tc>
          <w:tcPr>
            <w:tcW w:w="3433" w:type="dxa"/>
            <w:shd w:val="clear" w:color="auto" w:fill="auto"/>
            <w:vAlign w:val="center"/>
          </w:tcPr>
          <w:p>
            <w:pPr>
              <w:pStyle w:val="23"/>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3697" w:type="dxa"/>
            <w:shd w:val="clear" w:color="auto" w:fill="auto"/>
            <w:vAlign w:val="center"/>
          </w:tcPr>
          <w:p>
            <w:pPr>
              <w:pStyle w:val="23"/>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非工组</w:t>
            </w:r>
          </w:p>
        </w:tc>
        <w:tc>
          <w:tcPr>
            <w:tcW w:w="1518" w:type="dxa"/>
            <w:shd w:val="clear" w:color="auto" w:fill="auto"/>
            <w:vAlign w:val="center"/>
          </w:tcPr>
          <w:p>
            <w:pPr>
              <w:pStyle w:val="23"/>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43</w:t>
            </w:r>
          </w:p>
        </w:tc>
        <w:tc>
          <w:tcPr>
            <w:tcW w:w="3433" w:type="dxa"/>
            <w:shd w:val="clear" w:color="auto" w:fill="auto"/>
            <w:vAlign w:val="center"/>
          </w:tcPr>
          <w:p>
            <w:pPr>
              <w:pStyle w:val="23"/>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0.</w:t>
            </w:r>
            <w:r>
              <w:rPr>
                <w:rFonts w:hint="default" w:ascii="Times New Roman" w:hAnsi="Times New Roman" w:eastAsia="方正仿宋_GBK" w:cs="Times New Roman"/>
                <w:color w:val="auto"/>
                <w:sz w:val="21"/>
                <w:szCs w:val="21"/>
                <w:highlight w:val="none"/>
                <w:lang w:val="en-US" w:eastAsia="zh-CN"/>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3697" w:type="dxa"/>
            <w:shd w:val="clear" w:color="auto" w:fill="auto"/>
            <w:vAlign w:val="center"/>
          </w:tcPr>
          <w:p>
            <w:pPr>
              <w:pStyle w:val="23"/>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高耗能行业</w:t>
            </w:r>
          </w:p>
        </w:tc>
        <w:tc>
          <w:tcPr>
            <w:tcW w:w="1518" w:type="dxa"/>
            <w:shd w:val="clear" w:color="auto" w:fill="auto"/>
            <w:vAlign w:val="center"/>
          </w:tcPr>
          <w:p>
            <w:pPr>
              <w:pStyle w:val="23"/>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35</w:t>
            </w:r>
          </w:p>
        </w:tc>
        <w:tc>
          <w:tcPr>
            <w:tcW w:w="3433" w:type="dxa"/>
            <w:shd w:val="clear" w:color="auto" w:fill="auto"/>
            <w:vAlign w:val="center"/>
          </w:tcPr>
          <w:p>
            <w:pPr>
              <w:pStyle w:val="23"/>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3697" w:type="dxa"/>
            <w:shd w:val="clear" w:color="auto" w:fill="auto"/>
            <w:vAlign w:val="center"/>
          </w:tcPr>
          <w:p>
            <w:pPr>
              <w:pStyle w:val="23"/>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其他工业</w:t>
            </w:r>
          </w:p>
        </w:tc>
        <w:tc>
          <w:tcPr>
            <w:tcW w:w="1518" w:type="dxa"/>
            <w:shd w:val="clear" w:color="auto" w:fill="auto"/>
            <w:vAlign w:val="center"/>
          </w:tcPr>
          <w:p>
            <w:pPr>
              <w:pStyle w:val="23"/>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149</w:t>
            </w:r>
          </w:p>
        </w:tc>
        <w:tc>
          <w:tcPr>
            <w:tcW w:w="3433" w:type="dxa"/>
            <w:shd w:val="clear" w:color="auto" w:fill="auto"/>
            <w:vAlign w:val="center"/>
          </w:tcPr>
          <w:p>
            <w:pPr>
              <w:pStyle w:val="23"/>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6.91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3697" w:type="dxa"/>
            <w:vAlign w:val="center"/>
          </w:tcPr>
          <w:p>
            <w:pPr>
              <w:pStyle w:val="23"/>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b/>
                <w:bCs/>
                <w:color w:val="auto"/>
                <w:sz w:val="21"/>
                <w:szCs w:val="21"/>
                <w:highlight w:val="none"/>
                <w:lang w:val="en-US" w:eastAsia="zh-CN"/>
              </w:rPr>
              <w:t>3</w:t>
            </w:r>
            <w:r>
              <w:rPr>
                <w:rFonts w:hint="default" w:ascii="Times New Roman" w:hAnsi="Times New Roman" w:eastAsia="方正仿宋_GBK" w:cs="Times New Roman"/>
                <w:b/>
                <w:bCs/>
                <w:color w:val="auto"/>
                <w:sz w:val="21"/>
                <w:szCs w:val="21"/>
                <w:highlight w:val="none"/>
              </w:rPr>
              <w:t>.沭阳县</w:t>
            </w:r>
          </w:p>
        </w:tc>
        <w:tc>
          <w:tcPr>
            <w:tcW w:w="1518" w:type="dxa"/>
            <w:vAlign w:val="center"/>
          </w:tcPr>
          <w:p>
            <w:pPr>
              <w:pStyle w:val="23"/>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597</w:t>
            </w:r>
          </w:p>
        </w:tc>
        <w:tc>
          <w:tcPr>
            <w:tcW w:w="3433" w:type="dxa"/>
            <w:vAlign w:val="center"/>
          </w:tcPr>
          <w:p>
            <w:pPr>
              <w:pStyle w:val="23"/>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3697" w:type="dxa"/>
            <w:vAlign w:val="center"/>
          </w:tcPr>
          <w:p>
            <w:pPr>
              <w:pStyle w:val="23"/>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非工组</w:t>
            </w:r>
          </w:p>
        </w:tc>
        <w:tc>
          <w:tcPr>
            <w:tcW w:w="1518" w:type="dxa"/>
            <w:vAlign w:val="center"/>
          </w:tcPr>
          <w:p>
            <w:pPr>
              <w:pStyle w:val="23"/>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6</w:t>
            </w:r>
            <w:r>
              <w:rPr>
                <w:rFonts w:hint="default" w:ascii="Times New Roman" w:hAnsi="Times New Roman" w:eastAsia="方正仿宋_GBK" w:cs="Times New Roman"/>
                <w:color w:val="auto"/>
                <w:sz w:val="21"/>
                <w:szCs w:val="21"/>
                <w:highlight w:val="none"/>
                <w:lang w:val="en-US" w:eastAsia="zh-CN"/>
              </w:rPr>
              <w:t>0</w:t>
            </w:r>
          </w:p>
        </w:tc>
        <w:tc>
          <w:tcPr>
            <w:tcW w:w="3433" w:type="dxa"/>
            <w:vAlign w:val="center"/>
          </w:tcPr>
          <w:p>
            <w:pPr>
              <w:pStyle w:val="23"/>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3697" w:type="dxa"/>
            <w:vAlign w:val="center"/>
          </w:tcPr>
          <w:p>
            <w:pPr>
              <w:pStyle w:val="23"/>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高耗能行业</w:t>
            </w:r>
          </w:p>
        </w:tc>
        <w:tc>
          <w:tcPr>
            <w:tcW w:w="1518" w:type="dxa"/>
            <w:vAlign w:val="center"/>
          </w:tcPr>
          <w:p>
            <w:pPr>
              <w:pStyle w:val="23"/>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7</w:t>
            </w:r>
            <w:r>
              <w:rPr>
                <w:rFonts w:hint="default" w:ascii="Times New Roman" w:hAnsi="Times New Roman" w:eastAsia="方正仿宋_GBK" w:cs="Times New Roman"/>
                <w:color w:val="auto"/>
                <w:sz w:val="21"/>
                <w:szCs w:val="21"/>
                <w:highlight w:val="none"/>
                <w:lang w:val="en-US" w:eastAsia="zh-CN"/>
              </w:rPr>
              <w:t>0</w:t>
            </w:r>
          </w:p>
        </w:tc>
        <w:tc>
          <w:tcPr>
            <w:tcW w:w="3433" w:type="dxa"/>
            <w:vAlign w:val="center"/>
          </w:tcPr>
          <w:p>
            <w:pPr>
              <w:pStyle w:val="23"/>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3697" w:type="dxa"/>
            <w:vAlign w:val="center"/>
          </w:tcPr>
          <w:p>
            <w:pPr>
              <w:pStyle w:val="23"/>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其他工业</w:t>
            </w:r>
          </w:p>
        </w:tc>
        <w:tc>
          <w:tcPr>
            <w:tcW w:w="1518" w:type="dxa"/>
            <w:vAlign w:val="center"/>
          </w:tcPr>
          <w:p>
            <w:pPr>
              <w:pStyle w:val="23"/>
              <w:ind w:firstLine="0" w:firstLineChars="0"/>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val="en-US" w:eastAsia="zh-CN"/>
              </w:rPr>
              <w:t>467</w:t>
            </w:r>
          </w:p>
        </w:tc>
        <w:tc>
          <w:tcPr>
            <w:tcW w:w="3433" w:type="dxa"/>
            <w:vAlign w:val="center"/>
          </w:tcPr>
          <w:p>
            <w:pPr>
              <w:pStyle w:val="23"/>
              <w:ind w:firstLine="0" w:firstLineChars="0"/>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val="en-US" w:eastAsia="zh-CN"/>
              </w:rPr>
              <w:t>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3697" w:type="dxa"/>
            <w:vAlign w:val="center"/>
          </w:tcPr>
          <w:p>
            <w:pPr>
              <w:pStyle w:val="23"/>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b/>
                <w:bCs/>
                <w:color w:val="auto"/>
                <w:sz w:val="21"/>
                <w:szCs w:val="21"/>
                <w:highlight w:val="none"/>
                <w:lang w:val="en-US" w:eastAsia="zh-CN"/>
              </w:rPr>
              <w:t>4</w:t>
            </w:r>
            <w:r>
              <w:rPr>
                <w:rFonts w:hint="default" w:ascii="Times New Roman" w:hAnsi="Times New Roman" w:eastAsia="方正仿宋_GBK" w:cs="Times New Roman"/>
                <w:b/>
                <w:bCs/>
                <w:color w:val="auto"/>
                <w:sz w:val="21"/>
                <w:szCs w:val="21"/>
                <w:highlight w:val="none"/>
              </w:rPr>
              <w:t>.泗阳县</w:t>
            </w:r>
          </w:p>
        </w:tc>
        <w:tc>
          <w:tcPr>
            <w:tcW w:w="1518" w:type="dxa"/>
            <w:vAlign w:val="center"/>
          </w:tcPr>
          <w:p>
            <w:pPr>
              <w:pStyle w:val="23"/>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490</w:t>
            </w:r>
          </w:p>
        </w:tc>
        <w:tc>
          <w:tcPr>
            <w:tcW w:w="3433" w:type="dxa"/>
            <w:vAlign w:val="top"/>
          </w:tcPr>
          <w:p>
            <w:pPr>
              <w:pStyle w:val="23"/>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3697" w:type="dxa"/>
            <w:vAlign w:val="center"/>
          </w:tcPr>
          <w:p>
            <w:pPr>
              <w:pStyle w:val="23"/>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非工组</w:t>
            </w:r>
          </w:p>
        </w:tc>
        <w:tc>
          <w:tcPr>
            <w:tcW w:w="1518" w:type="dxa"/>
            <w:vAlign w:val="center"/>
          </w:tcPr>
          <w:p>
            <w:pPr>
              <w:pStyle w:val="23"/>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49</w:t>
            </w:r>
          </w:p>
        </w:tc>
        <w:tc>
          <w:tcPr>
            <w:tcW w:w="3433" w:type="dxa"/>
            <w:vAlign w:val="top"/>
          </w:tcPr>
          <w:p>
            <w:pPr>
              <w:pStyle w:val="23"/>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0.</w:t>
            </w:r>
            <w:r>
              <w:rPr>
                <w:rFonts w:hint="default" w:ascii="Times New Roman" w:hAnsi="Times New Roman" w:eastAsia="方正仿宋_GBK" w:cs="Times New Roman"/>
                <w:color w:val="auto"/>
                <w:sz w:val="21"/>
                <w:szCs w:val="21"/>
                <w:highlight w:val="none"/>
                <w:lang w:val="en-US" w:eastAsia="zh-CN"/>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3697" w:type="dxa"/>
            <w:vAlign w:val="center"/>
          </w:tcPr>
          <w:p>
            <w:pPr>
              <w:pStyle w:val="23"/>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高耗能行业</w:t>
            </w:r>
          </w:p>
        </w:tc>
        <w:tc>
          <w:tcPr>
            <w:tcW w:w="1518" w:type="dxa"/>
            <w:vAlign w:val="center"/>
          </w:tcPr>
          <w:p>
            <w:pPr>
              <w:pStyle w:val="23"/>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13</w:t>
            </w:r>
          </w:p>
        </w:tc>
        <w:tc>
          <w:tcPr>
            <w:tcW w:w="3433" w:type="dxa"/>
            <w:vAlign w:val="top"/>
          </w:tcPr>
          <w:p>
            <w:pPr>
              <w:pStyle w:val="23"/>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0.</w:t>
            </w:r>
            <w:r>
              <w:rPr>
                <w:rFonts w:hint="default" w:ascii="Times New Roman" w:hAnsi="Times New Roman" w:eastAsia="方正仿宋_GBK" w:cs="Times New Roman"/>
                <w:color w:val="auto"/>
                <w:sz w:val="21"/>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3697" w:type="dxa"/>
            <w:vAlign w:val="center"/>
          </w:tcPr>
          <w:p>
            <w:pPr>
              <w:pStyle w:val="23"/>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其他工业</w:t>
            </w:r>
          </w:p>
        </w:tc>
        <w:tc>
          <w:tcPr>
            <w:tcW w:w="1518" w:type="dxa"/>
            <w:vAlign w:val="center"/>
          </w:tcPr>
          <w:p>
            <w:pPr>
              <w:pStyle w:val="23"/>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428</w:t>
            </w:r>
          </w:p>
        </w:tc>
        <w:tc>
          <w:tcPr>
            <w:tcW w:w="3433" w:type="dxa"/>
            <w:vAlign w:val="top"/>
          </w:tcPr>
          <w:p>
            <w:pPr>
              <w:pStyle w:val="23"/>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3697" w:type="dxa"/>
            <w:vAlign w:val="center"/>
          </w:tcPr>
          <w:p>
            <w:pPr>
              <w:pStyle w:val="23"/>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b/>
                <w:bCs/>
                <w:color w:val="auto"/>
                <w:sz w:val="21"/>
                <w:szCs w:val="21"/>
                <w:highlight w:val="none"/>
                <w:lang w:val="en-US" w:eastAsia="zh-CN"/>
              </w:rPr>
              <w:t>5</w:t>
            </w:r>
            <w:r>
              <w:rPr>
                <w:rFonts w:hint="default" w:ascii="Times New Roman" w:hAnsi="Times New Roman" w:eastAsia="方正仿宋_GBK" w:cs="Times New Roman"/>
                <w:b/>
                <w:bCs/>
                <w:color w:val="auto"/>
                <w:sz w:val="21"/>
                <w:szCs w:val="21"/>
                <w:highlight w:val="none"/>
              </w:rPr>
              <w:t>.泗洪县</w:t>
            </w:r>
          </w:p>
        </w:tc>
        <w:tc>
          <w:tcPr>
            <w:tcW w:w="1518" w:type="dxa"/>
            <w:vAlign w:val="center"/>
          </w:tcPr>
          <w:p>
            <w:pPr>
              <w:pStyle w:val="23"/>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667</w:t>
            </w:r>
          </w:p>
        </w:tc>
        <w:tc>
          <w:tcPr>
            <w:tcW w:w="3433" w:type="dxa"/>
            <w:vAlign w:val="top"/>
          </w:tcPr>
          <w:p>
            <w:pPr>
              <w:pStyle w:val="23"/>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14.91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3697" w:type="dxa"/>
            <w:vAlign w:val="center"/>
          </w:tcPr>
          <w:p>
            <w:pPr>
              <w:pStyle w:val="23"/>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非工组</w:t>
            </w:r>
          </w:p>
        </w:tc>
        <w:tc>
          <w:tcPr>
            <w:tcW w:w="1518" w:type="dxa"/>
            <w:vAlign w:val="center"/>
          </w:tcPr>
          <w:p>
            <w:pPr>
              <w:pStyle w:val="23"/>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rPr>
              <w:t>94</w:t>
            </w:r>
          </w:p>
        </w:tc>
        <w:tc>
          <w:tcPr>
            <w:tcW w:w="3433" w:type="dxa"/>
            <w:vAlign w:val="top"/>
          </w:tcPr>
          <w:p>
            <w:pPr>
              <w:pStyle w:val="23"/>
              <w:rPr>
                <w:rFonts w:hint="eastAsia"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0.1</w:t>
            </w:r>
            <w:r>
              <w:rPr>
                <w:rFonts w:hint="eastAsia" w:ascii="Times New Roman" w:hAnsi="Times New Roman" w:eastAsia="方正仿宋_GBK" w:cs="Times New Roman"/>
                <w:color w:val="auto"/>
                <w:sz w:val="21"/>
                <w:szCs w:val="21"/>
                <w:highlight w:val="no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3697" w:type="dxa"/>
            <w:vAlign w:val="center"/>
          </w:tcPr>
          <w:p>
            <w:pPr>
              <w:pStyle w:val="23"/>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高耗能行业</w:t>
            </w:r>
          </w:p>
        </w:tc>
        <w:tc>
          <w:tcPr>
            <w:tcW w:w="1518" w:type="dxa"/>
            <w:vAlign w:val="center"/>
          </w:tcPr>
          <w:p>
            <w:pPr>
              <w:pStyle w:val="23"/>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rPr>
              <w:t>9</w:t>
            </w:r>
          </w:p>
        </w:tc>
        <w:tc>
          <w:tcPr>
            <w:tcW w:w="3433" w:type="dxa"/>
            <w:vAlign w:val="top"/>
          </w:tcPr>
          <w:p>
            <w:pPr>
              <w:pStyle w:val="23"/>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0.</w:t>
            </w:r>
            <w:r>
              <w:rPr>
                <w:rFonts w:hint="default" w:ascii="Times New Roman" w:hAnsi="Times New Roman" w:eastAsia="方正仿宋_GBK" w:cs="Times New Roman"/>
                <w:color w:val="auto"/>
                <w:sz w:val="21"/>
                <w:szCs w:val="21"/>
                <w:highlight w:val="none"/>
                <w:lang w:val="en-US" w:eastAsia="zh-CN"/>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3697" w:type="dxa"/>
            <w:vAlign w:val="center"/>
          </w:tcPr>
          <w:p>
            <w:pPr>
              <w:pStyle w:val="23"/>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其他工业</w:t>
            </w:r>
          </w:p>
        </w:tc>
        <w:tc>
          <w:tcPr>
            <w:tcW w:w="1518" w:type="dxa"/>
            <w:vAlign w:val="center"/>
          </w:tcPr>
          <w:p>
            <w:pPr>
              <w:pStyle w:val="23"/>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630</w:t>
            </w:r>
          </w:p>
        </w:tc>
        <w:tc>
          <w:tcPr>
            <w:tcW w:w="3433" w:type="dxa"/>
            <w:vAlign w:val="top"/>
          </w:tcPr>
          <w:p>
            <w:pPr>
              <w:pStyle w:val="23"/>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jc w:val="center"/>
        </w:trPr>
        <w:tc>
          <w:tcPr>
            <w:tcW w:w="3697" w:type="dxa"/>
            <w:vAlign w:val="center"/>
          </w:tcPr>
          <w:p>
            <w:pPr>
              <w:pStyle w:val="23"/>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b/>
                <w:bCs/>
                <w:color w:val="auto"/>
                <w:sz w:val="21"/>
                <w:szCs w:val="21"/>
                <w:highlight w:val="none"/>
              </w:rPr>
              <w:t>合计</w:t>
            </w:r>
          </w:p>
        </w:tc>
        <w:tc>
          <w:tcPr>
            <w:tcW w:w="1518" w:type="dxa"/>
            <w:vAlign w:val="center"/>
          </w:tcPr>
          <w:p>
            <w:pPr>
              <w:pStyle w:val="23"/>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2243</w:t>
            </w:r>
          </w:p>
        </w:tc>
        <w:tc>
          <w:tcPr>
            <w:tcW w:w="3433" w:type="dxa"/>
            <w:vAlign w:val="center"/>
          </w:tcPr>
          <w:p>
            <w:pPr>
              <w:pStyle w:val="23"/>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65.</w:t>
            </w:r>
            <w:r>
              <w:rPr>
                <w:rFonts w:hint="eastAsia" w:ascii="Times New Roman" w:hAnsi="Times New Roman" w:eastAsia="方正仿宋_GBK" w:cs="Times New Roman"/>
                <w:color w:val="auto"/>
                <w:sz w:val="21"/>
                <w:szCs w:val="21"/>
                <w:highlight w:val="none"/>
                <w:lang w:val="en-US" w:eastAsia="zh-CN"/>
              </w:rPr>
              <w:t>33</w:t>
            </w:r>
          </w:p>
        </w:tc>
      </w:tr>
    </w:tbl>
    <w:p>
      <w:pPr>
        <w:keepNext w:val="0"/>
        <w:keepLines w:val="0"/>
        <w:pageBreakBefore w:val="0"/>
        <w:widowControl w:val="0"/>
        <w:kinsoku/>
        <w:wordWrap/>
        <w:overflowPunct/>
        <w:topLinePunct w:val="0"/>
        <w:autoSpaceDE/>
        <w:autoSpaceDN/>
        <w:bidi w:val="0"/>
        <w:adjustRightInd/>
        <w:snapToGrid/>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此外，约定需求响应措施中，“快上快下”响应调节措施是快速应对短时电力缺口的重要手段，也是应对日内风电光伏波动出力、临时区外购电等不确定因素的重要补充措施。通过梳理钢铁、建材等具备快速响应能力的大型高耗能用户，挖掘调控速度在</w:t>
      </w:r>
      <w:r>
        <w:rPr>
          <w:rFonts w:hint="default" w:ascii="Times New Roman" w:hAnsi="Times New Roman" w:eastAsia="方正仿宋_GBK" w:cs="Times New Roman"/>
          <w:color w:val="auto"/>
          <w:sz w:val="32"/>
          <w:szCs w:val="32"/>
          <w:highlight w:val="none"/>
          <w:lang w:val="en-US" w:eastAsia="zh-CN"/>
        </w:rPr>
        <w:t>0.5</w:t>
      </w:r>
      <w:r>
        <w:rPr>
          <w:rFonts w:hint="default" w:ascii="Times New Roman" w:hAnsi="Times New Roman" w:eastAsia="方正仿宋_GBK" w:cs="Times New Roman"/>
          <w:color w:val="auto"/>
          <w:sz w:val="32"/>
          <w:szCs w:val="32"/>
          <w:highlight w:val="none"/>
        </w:rPr>
        <w:t>小时以内具备“紧急避峰”负荷调节特性的快上快下资源，开展现场督导，确保应对短时局部性电力缺口。</w:t>
      </w:r>
    </w:p>
    <w:p>
      <w:pPr>
        <w:keepNext w:val="0"/>
        <w:keepLines w:val="0"/>
        <w:pageBreakBefore w:val="0"/>
        <w:widowControl w:val="0"/>
        <w:kinsoku/>
        <w:wordWrap/>
        <w:overflowPunct/>
        <w:topLinePunct w:val="0"/>
        <w:autoSpaceDE/>
        <w:autoSpaceDN/>
        <w:bidi w:val="0"/>
        <w:adjustRightInd/>
        <w:snapToGrid/>
        <w:ind w:firstLine="640"/>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rPr>
        <w:t>其中，重点全量梳理</w:t>
      </w:r>
      <w:r>
        <w:rPr>
          <w:rFonts w:hint="default" w:ascii="Times New Roman" w:hAnsi="Times New Roman" w:eastAsia="方正仿宋_GBK" w:cs="Times New Roman"/>
          <w:color w:val="auto"/>
          <w:sz w:val="32"/>
          <w:szCs w:val="32"/>
          <w:highlight w:val="none"/>
          <w:lang w:val="en-US" w:eastAsia="zh-CN"/>
        </w:rPr>
        <w:t>0.5</w:t>
      </w:r>
      <w:r>
        <w:rPr>
          <w:rFonts w:hint="default" w:ascii="Times New Roman" w:hAnsi="Times New Roman" w:eastAsia="方正仿宋_GBK" w:cs="Times New Roman"/>
          <w:color w:val="auto"/>
          <w:sz w:val="32"/>
          <w:szCs w:val="32"/>
          <w:highlight w:val="none"/>
        </w:rPr>
        <w:t>小时内快上快下（实时需求响应）资源，包括通过现场督导、技术管控等方式，确保快上快下（实时需求响应）资源在</w:t>
      </w:r>
      <w:r>
        <w:rPr>
          <w:rFonts w:hint="default" w:ascii="Times New Roman" w:hAnsi="Times New Roman" w:eastAsia="方正仿宋_GBK" w:cs="Times New Roman"/>
          <w:color w:val="auto"/>
          <w:sz w:val="32"/>
          <w:szCs w:val="32"/>
          <w:highlight w:val="none"/>
          <w:lang w:val="en-US" w:eastAsia="zh-CN"/>
        </w:rPr>
        <w:t>0.5</w:t>
      </w:r>
      <w:r>
        <w:rPr>
          <w:rFonts w:hint="default" w:ascii="Times New Roman" w:hAnsi="Times New Roman" w:eastAsia="方正仿宋_GBK" w:cs="Times New Roman"/>
          <w:color w:val="auto"/>
          <w:sz w:val="32"/>
          <w:szCs w:val="32"/>
          <w:highlight w:val="none"/>
        </w:rPr>
        <w:t>时以内自主快速有效压降负荷。迎峰度夏、迎峰度冬前分别开展</w:t>
      </w:r>
      <w:r>
        <w:rPr>
          <w:rFonts w:hint="default" w:ascii="Times New Roman" w:hAnsi="Times New Roman" w:eastAsia="方正仿宋_GBK" w:cs="Times New Roman"/>
          <w:color w:val="auto"/>
          <w:sz w:val="32"/>
          <w:szCs w:val="32"/>
          <w:highlight w:val="none"/>
          <w:lang w:val="en-US" w:eastAsia="zh-CN"/>
        </w:rPr>
        <w:t>0.5</w:t>
      </w:r>
      <w:r>
        <w:rPr>
          <w:rFonts w:hint="default" w:ascii="Times New Roman" w:hAnsi="Times New Roman" w:eastAsia="方正仿宋_GBK" w:cs="Times New Roman"/>
          <w:color w:val="auto"/>
          <w:sz w:val="32"/>
          <w:szCs w:val="32"/>
          <w:highlight w:val="none"/>
        </w:rPr>
        <w:t>小时内</w:t>
      </w:r>
      <w:r>
        <w:rPr>
          <w:rFonts w:hint="eastAsia" w:ascii="Times New Roman" w:hAnsi="Times New Roman" w:eastAsia="方正仿宋_GBK" w:cs="Times New Roman"/>
          <w:color w:val="auto"/>
          <w:sz w:val="32"/>
          <w:szCs w:val="32"/>
          <w:highlight w:val="none"/>
          <w:lang w:eastAsia="zh-CN"/>
        </w:rPr>
        <w:t>最大可调负荷</w:t>
      </w:r>
      <w:r>
        <w:rPr>
          <w:rFonts w:hint="default" w:ascii="Times New Roman" w:hAnsi="Times New Roman" w:eastAsia="方正仿宋_GBK" w:cs="Times New Roman"/>
          <w:color w:val="auto"/>
          <w:sz w:val="32"/>
          <w:szCs w:val="32"/>
          <w:highlight w:val="none"/>
        </w:rPr>
        <w:t>储备容量校核。</w:t>
      </w:r>
      <w:r>
        <w:rPr>
          <w:rFonts w:hint="default" w:ascii="Times New Roman" w:hAnsi="Times New Roman" w:eastAsia="方正仿宋_GBK" w:cs="Times New Roman"/>
          <w:color w:val="auto"/>
          <w:sz w:val="32"/>
          <w:szCs w:val="32"/>
          <w:highlight w:val="none"/>
          <w:lang w:val="en-US" w:eastAsia="zh-CN"/>
        </w:rPr>
        <w:t>根据各县区第一批快上快下签约情况，目前计划签订快上快下资源的共计3</w:t>
      </w:r>
      <w:r>
        <w:rPr>
          <w:rFonts w:hint="eastAsia" w:ascii="Times New Roman" w:hAnsi="Times New Roman" w:eastAsia="方正仿宋_GBK" w:cs="Times New Roman"/>
          <w:color w:val="auto"/>
          <w:sz w:val="32"/>
          <w:szCs w:val="32"/>
          <w:highlight w:val="none"/>
          <w:lang w:val="en-US" w:eastAsia="zh-CN"/>
        </w:rPr>
        <w:t>8</w:t>
      </w:r>
      <w:r>
        <w:rPr>
          <w:rFonts w:hint="default" w:ascii="Times New Roman" w:hAnsi="Times New Roman" w:eastAsia="方正仿宋_GBK" w:cs="Times New Roman"/>
          <w:color w:val="auto"/>
          <w:sz w:val="32"/>
          <w:szCs w:val="32"/>
          <w:highlight w:val="none"/>
          <w:lang w:val="en-US" w:eastAsia="zh-CN"/>
        </w:rPr>
        <w:t>户，0.5小时内</w:t>
      </w:r>
      <w:r>
        <w:rPr>
          <w:rFonts w:hint="eastAsia" w:ascii="Times New Roman" w:hAnsi="Times New Roman" w:eastAsia="方正仿宋_GBK" w:cs="Times New Roman"/>
          <w:color w:val="auto"/>
          <w:sz w:val="32"/>
          <w:szCs w:val="32"/>
          <w:highlight w:val="none"/>
          <w:lang w:val="en-US" w:eastAsia="zh"/>
        </w:rPr>
        <w:t>腰</w:t>
      </w:r>
      <w:r>
        <w:rPr>
          <w:rFonts w:hint="default" w:ascii="Times New Roman" w:hAnsi="Times New Roman" w:eastAsia="方正仿宋_GBK" w:cs="Times New Roman"/>
          <w:color w:val="auto"/>
          <w:sz w:val="32"/>
          <w:szCs w:val="32"/>
          <w:highlight w:val="none"/>
          <w:lang w:val="en-US" w:eastAsia="zh-CN"/>
        </w:rPr>
        <w:t>峰最大可调资源共计</w:t>
      </w:r>
      <w:r>
        <w:rPr>
          <w:rFonts w:hint="eastAsia" w:ascii="Times New Roman" w:hAnsi="Times New Roman" w:eastAsia="方正仿宋_GBK" w:cs="Times New Roman"/>
          <w:color w:val="auto"/>
          <w:sz w:val="32"/>
          <w:szCs w:val="32"/>
          <w:highlight w:val="none"/>
          <w:lang w:val="en-US" w:eastAsia="zh"/>
        </w:rPr>
        <w:t>9.25</w:t>
      </w:r>
      <w:r>
        <w:rPr>
          <w:rFonts w:hint="default" w:ascii="Times New Roman" w:hAnsi="Times New Roman" w:eastAsia="方正仿宋_GBK" w:cs="Times New Roman"/>
          <w:color w:val="auto"/>
          <w:sz w:val="32"/>
          <w:szCs w:val="32"/>
          <w:highlight w:val="none"/>
          <w:lang w:val="en-US" w:eastAsia="zh-CN"/>
        </w:rPr>
        <w:t>万千瓦，4小时内</w:t>
      </w:r>
      <w:r>
        <w:rPr>
          <w:rFonts w:hint="eastAsia" w:ascii="Times New Roman" w:hAnsi="Times New Roman" w:eastAsia="方正仿宋_GBK" w:cs="Times New Roman"/>
          <w:color w:val="auto"/>
          <w:sz w:val="32"/>
          <w:szCs w:val="32"/>
          <w:highlight w:val="none"/>
          <w:lang w:val="en-US" w:eastAsia="zh"/>
        </w:rPr>
        <w:t>腰</w:t>
      </w:r>
      <w:r>
        <w:rPr>
          <w:rFonts w:hint="default" w:ascii="Times New Roman" w:hAnsi="Times New Roman" w:eastAsia="方正仿宋_GBK" w:cs="Times New Roman"/>
          <w:color w:val="auto"/>
          <w:sz w:val="32"/>
          <w:szCs w:val="32"/>
          <w:highlight w:val="none"/>
          <w:lang w:val="en-US" w:eastAsia="zh-CN"/>
        </w:rPr>
        <w:t>峰最大可调资源共计</w:t>
      </w:r>
      <w:r>
        <w:rPr>
          <w:rFonts w:hint="eastAsia" w:ascii="Times New Roman" w:hAnsi="Times New Roman" w:eastAsia="方正仿宋_GBK" w:cs="Times New Roman"/>
          <w:color w:val="auto"/>
          <w:sz w:val="32"/>
          <w:szCs w:val="32"/>
          <w:highlight w:val="none"/>
          <w:lang w:val="en-US" w:eastAsia="zh"/>
        </w:rPr>
        <w:t>13.5</w:t>
      </w:r>
      <w:r>
        <w:rPr>
          <w:rFonts w:hint="default" w:ascii="Times New Roman" w:hAnsi="Times New Roman" w:eastAsia="方正仿宋_GBK" w:cs="Times New Roman"/>
          <w:color w:val="auto"/>
          <w:sz w:val="32"/>
          <w:szCs w:val="32"/>
          <w:highlight w:val="none"/>
          <w:lang w:val="en-US" w:eastAsia="zh-CN"/>
        </w:rPr>
        <w:t>万千瓦，最终清单以迎峰度夏（冬）前各县区完成签订的快上快下协议客户为准。</w:t>
      </w:r>
    </w:p>
    <w:p>
      <w:pPr>
        <w:pStyle w:val="22"/>
        <w:pageBreakBefore w:val="0"/>
        <w:kinsoku/>
        <w:wordWrap/>
        <w:overflowPunct/>
        <w:topLinePunct w:val="0"/>
        <w:autoSpaceDE/>
        <w:autoSpaceDN/>
        <w:bidi w:val="0"/>
        <w:adjustRightInd/>
        <w:snapToGrid/>
        <w:spacing w:before="0" w:beforeLines="0" w:after="156"/>
        <w:ind w:firstLine="0" w:firstLineChars="0"/>
        <w:rPr>
          <w:rFonts w:hint="default" w:ascii="Times New Roman" w:hAnsi="Times New Roman" w:eastAsia="黑体" w:cs="Times New Roman"/>
          <w:b w:val="0"/>
          <w:bCs/>
          <w:color w:val="auto"/>
          <w:sz w:val="21"/>
          <w:szCs w:val="21"/>
          <w:highlight w:val="none"/>
        </w:rPr>
      </w:pPr>
      <w:r>
        <w:rPr>
          <w:rFonts w:hint="default" w:ascii="Times New Roman" w:hAnsi="Times New Roman" w:eastAsia="黑体" w:cs="Times New Roman"/>
          <w:b w:val="0"/>
          <w:bCs/>
          <w:color w:val="auto"/>
          <w:sz w:val="21"/>
          <w:szCs w:val="21"/>
          <w:highlight w:val="none"/>
        </w:rPr>
        <w:t>表10：</w:t>
      </w:r>
      <w:r>
        <w:rPr>
          <w:rFonts w:hint="default" w:ascii="Times New Roman" w:hAnsi="Times New Roman" w:eastAsia="黑体" w:cs="Times New Roman"/>
          <w:b w:val="0"/>
          <w:bCs/>
          <w:color w:val="auto"/>
          <w:sz w:val="21"/>
          <w:szCs w:val="21"/>
          <w:highlight w:val="none"/>
          <w:lang w:val="en-US" w:eastAsia="zh-CN"/>
        </w:rPr>
        <w:t>0.5小时</w:t>
      </w:r>
      <w:r>
        <w:rPr>
          <w:rFonts w:hint="default" w:ascii="Times New Roman" w:hAnsi="Times New Roman" w:eastAsia="黑体" w:cs="Times New Roman"/>
          <w:b w:val="0"/>
          <w:bCs/>
          <w:color w:val="auto"/>
          <w:sz w:val="21"/>
          <w:szCs w:val="21"/>
          <w:highlight w:val="none"/>
        </w:rPr>
        <w:t>快上快下措施统计表</w:t>
      </w:r>
    </w:p>
    <w:p>
      <w:pPr>
        <w:pStyle w:val="2"/>
        <w:pageBreakBefore w:val="0"/>
        <w:kinsoku/>
        <w:wordWrap/>
        <w:overflowPunct/>
        <w:topLinePunct w:val="0"/>
        <w:autoSpaceDE/>
        <w:autoSpaceDN/>
        <w:bidi w:val="0"/>
        <w:adjustRightInd/>
        <w:snapToGrid/>
        <w:ind w:firstLine="0" w:firstLineChars="0"/>
        <w:jc w:val="center"/>
        <w:rPr>
          <w:rFonts w:hint="default" w:ascii="Times New Roman" w:hAnsi="Times New Roman" w:eastAsia="方正仿宋_GBK" w:cs="Times New Roman"/>
          <w:color w:val="auto"/>
          <w:sz w:val="21"/>
          <w:szCs w:val="21"/>
          <w:highlight w:val="none"/>
        </w:rPr>
      </w:pPr>
      <w:r>
        <w:rPr>
          <w:rFonts w:hint="default" w:ascii="Times New Roman" w:hAnsi="Times New Roman" w:eastAsia="宋体" w:cs="Times New Roman"/>
          <w:b/>
          <w:bCs/>
          <w:color w:val="auto"/>
          <w:sz w:val="24"/>
          <w:highlight w:val="none"/>
          <w:lang w:val="en-US" w:eastAsia="zh-CN"/>
        </w:rPr>
        <w:t xml:space="preserve">                                 </w:t>
      </w:r>
      <w:r>
        <w:rPr>
          <w:rFonts w:hint="default" w:ascii="Times New Roman" w:hAnsi="Times New Roman" w:eastAsia="方正仿宋_GBK" w:cs="Times New Roman"/>
          <w:b/>
          <w:bCs/>
          <w:color w:val="auto"/>
          <w:sz w:val="21"/>
          <w:szCs w:val="21"/>
          <w:highlight w:val="none"/>
          <w:lang w:val="en-US" w:eastAsia="zh-CN"/>
        </w:rPr>
        <w:t xml:space="preserve">        </w:t>
      </w:r>
      <w:r>
        <w:rPr>
          <w:rFonts w:hint="default" w:ascii="Times New Roman" w:hAnsi="Times New Roman" w:eastAsia="方正仿宋_GBK" w:cs="Times New Roman"/>
          <w:b/>
          <w:bCs/>
          <w:color w:val="auto"/>
          <w:sz w:val="21"/>
          <w:szCs w:val="21"/>
          <w:highlight w:val="none"/>
        </w:rPr>
        <w:t>单位：户、万千瓦</w:t>
      </w:r>
    </w:p>
    <w:tbl>
      <w:tblPr>
        <w:tblStyle w:val="13"/>
        <w:tblW w:w="8012"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194"/>
        <w:gridCol w:w="1300"/>
        <w:gridCol w:w="1688"/>
        <w:gridCol w:w="1987"/>
        <w:gridCol w:w="18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0" w:hRule="atLeast"/>
          <w:jc w:val="center"/>
        </w:trPr>
        <w:tc>
          <w:tcPr>
            <w:tcW w:w="11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pageBreakBefore w:val="0"/>
              <w:kinsoku/>
              <w:wordWrap/>
              <w:overflowPunct/>
              <w:topLinePunct w:val="0"/>
              <w:autoSpaceDE/>
              <w:autoSpaceDN/>
              <w:bidi w:val="0"/>
              <w:adjustRightInd/>
              <w:snapToGrid/>
              <w:ind w:firstLine="0" w:firstLineChars="0"/>
              <w:jc w:val="center"/>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lang w:val="en-US" w:eastAsia="zh-CN"/>
              </w:rPr>
              <w:t>县区</w:t>
            </w:r>
          </w:p>
        </w:tc>
        <w:tc>
          <w:tcPr>
            <w:tcW w:w="13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pageBreakBefore w:val="0"/>
              <w:kinsoku/>
              <w:wordWrap/>
              <w:overflowPunct/>
              <w:topLinePunct w:val="0"/>
              <w:autoSpaceDE/>
              <w:autoSpaceDN/>
              <w:bidi w:val="0"/>
              <w:adjustRightInd/>
              <w:snapToGrid/>
              <w:ind w:firstLine="0" w:firstLineChars="0"/>
              <w:jc w:val="center"/>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lang w:val="en-US" w:eastAsia="zh-CN"/>
              </w:rPr>
              <w:t>签约户数</w:t>
            </w:r>
          </w:p>
        </w:tc>
        <w:tc>
          <w:tcPr>
            <w:tcW w:w="16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pageBreakBefore w:val="0"/>
              <w:kinsoku/>
              <w:wordWrap/>
              <w:overflowPunct/>
              <w:topLinePunct w:val="0"/>
              <w:autoSpaceDE/>
              <w:autoSpaceDN/>
              <w:bidi w:val="0"/>
              <w:adjustRightInd/>
              <w:snapToGrid/>
              <w:ind w:firstLine="0" w:firstLineChars="0"/>
              <w:jc w:val="center"/>
              <w:rPr>
                <w:rFonts w:hint="default" w:ascii="Times New Roman" w:hAnsi="Times New Roman" w:eastAsia="方正仿宋_GBK" w:cs="Times New Roman"/>
                <w:b/>
                <w:bCs/>
                <w:color w:val="auto"/>
                <w:sz w:val="21"/>
                <w:szCs w:val="21"/>
                <w:highlight w:val="none"/>
                <w:lang w:val="en-US"/>
              </w:rPr>
            </w:pPr>
            <w:r>
              <w:rPr>
                <w:rFonts w:hint="default" w:ascii="Times New Roman" w:hAnsi="Times New Roman" w:eastAsia="方正仿宋_GBK" w:cs="Times New Roman"/>
                <w:b/>
                <w:bCs/>
                <w:color w:val="auto"/>
                <w:sz w:val="21"/>
                <w:szCs w:val="21"/>
                <w:highlight w:val="none"/>
                <w:lang w:val="en-US" w:eastAsia="zh-CN"/>
              </w:rPr>
              <w:t>早峰</w:t>
            </w:r>
            <w:r>
              <w:rPr>
                <w:rFonts w:hint="eastAsia" w:ascii="Times New Roman" w:hAnsi="Times New Roman" w:eastAsia="方正仿宋_GBK" w:cs="Times New Roman"/>
                <w:b/>
                <w:bCs/>
                <w:color w:val="auto"/>
                <w:sz w:val="21"/>
                <w:szCs w:val="21"/>
                <w:highlight w:val="none"/>
                <w:lang w:val="en-US" w:eastAsia="zh-CN"/>
              </w:rPr>
              <w:t>最大可调负荷</w:t>
            </w:r>
          </w:p>
        </w:tc>
        <w:tc>
          <w:tcPr>
            <w:tcW w:w="19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pageBreakBefore w:val="0"/>
              <w:kinsoku/>
              <w:wordWrap/>
              <w:overflowPunct/>
              <w:topLinePunct w:val="0"/>
              <w:autoSpaceDE/>
              <w:autoSpaceDN/>
              <w:bidi w:val="0"/>
              <w:adjustRightInd/>
              <w:snapToGrid/>
              <w:ind w:firstLine="0" w:firstLineChars="0"/>
              <w:jc w:val="center"/>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lang w:val="en-US" w:eastAsia="zh-CN"/>
              </w:rPr>
              <w:t>腰峰</w:t>
            </w:r>
            <w:r>
              <w:rPr>
                <w:rFonts w:hint="eastAsia" w:ascii="Times New Roman" w:hAnsi="Times New Roman" w:eastAsia="方正仿宋_GBK" w:cs="Times New Roman"/>
                <w:b/>
                <w:bCs/>
                <w:color w:val="auto"/>
                <w:sz w:val="21"/>
                <w:szCs w:val="21"/>
                <w:highlight w:val="none"/>
                <w:lang w:val="en-US" w:eastAsia="zh-CN"/>
              </w:rPr>
              <w:t>最大可调负荷</w:t>
            </w:r>
          </w:p>
        </w:tc>
        <w:tc>
          <w:tcPr>
            <w:tcW w:w="18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pageBreakBefore w:val="0"/>
              <w:kinsoku/>
              <w:wordWrap/>
              <w:overflowPunct/>
              <w:topLinePunct w:val="0"/>
              <w:autoSpaceDE/>
              <w:autoSpaceDN/>
              <w:bidi w:val="0"/>
              <w:adjustRightInd/>
              <w:snapToGrid/>
              <w:ind w:firstLine="0" w:firstLineChars="0"/>
              <w:jc w:val="center"/>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lang w:val="en-US" w:eastAsia="zh-CN"/>
              </w:rPr>
              <w:t>晚峰</w:t>
            </w:r>
            <w:r>
              <w:rPr>
                <w:rFonts w:hint="eastAsia" w:ascii="Times New Roman" w:hAnsi="Times New Roman" w:eastAsia="方正仿宋_GBK" w:cs="Times New Roman"/>
                <w:b/>
                <w:bCs/>
                <w:color w:val="auto"/>
                <w:sz w:val="21"/>
                <w:szCs w:val="21"/>
                <w:highlight w:val="none"/>
                <w:lang w:val="en-US" w:eastAsia="zh-CN"/>
              </w:rPr>
              <w:t>最大可调负荷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3" w:hRule="exact"/>
          <w:jc w:val="center"/>
        </w:trPr>
        <w:tc>
          <w:tcPr>
            <w:tcW w:w="11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sz w:val="21"/>
                <w:szCs w:val="21"/>
                <w:highlight w:val="none"/>
                <w:u w:val="none"/>
              </w:rPr>
            </w:pPr>
            <w:r>
              <w:rPr>
                <w:rFonts w:hint="default" w:ascii="Times New Roman" w:hAnsi="Times New Roman" w:eastAsia="方正仿宋_GBK" w:cs="Times New Roman"/>
                <w:i w:val="0"/>
                <w:color w:val="auto"/>
                <w:kern w:val="0"/>
                <w:sz w:val="21"/>
                <w:szCs w:val="21"/>
                <w:highlight w:val="none"/>
                <w:u w:val="none"/>
                <w:lang w:val="en-US" w:eastAsia="zh-CN" w:bidi="ar"/>
              </w:rPr>
              <w:t>宿豫</w:t>
            </w:r>
          </w:p>
        </w:tc>
        <w:tc>
          <w:tcPr>
            <w:tcW w:w="13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sz w:val="21"/>
                <w:szCs w:val="21"/>
                <w:highlight w:val="none"/>
                <w:u w:val="none"/>
              </w:rPr>
            </w:pPr>
            <w:r>
              <w:rPr>
                <w:rFonts w:hint="default" w:ascii="Times New Roman" w:hAnsi="Times New Roman" w:eastAsia="方正仿宋_GBK" w:cs="Times New Roman"/>
                <w:i w:val="0"/>
                <w:color w:val="auto"/>
                <w:kern w:val="0"/>
                <w:sz w:val="21"/>
                <w:szCs w:val="21"/>
                <w:highlight w:val="none"/>
                <w:u w:val="none"/>
                <w:lang w:val="en-US" w:eastAsia="zh-CN" w:bidi="ar"/>
              </w:rPr>
              <w:t>6</w:t>
            </w:r>
          </w:p>
        </w:tc>
        <w:tc>
          <w:tcPr>
            <w:tcW w:w="16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sz w:val="21"/>
                <w:szCs w:val="21"/>
                <w:highlight w:val="none"/>
                <w:u w:val="none"/>
                <w:lang w:val="en-US"/>
              </w:rPr>
            </w:pPr>
            <w:r>
              <w:rPr>
                <w:rFonts w:hint="default" w:ascii="Times New Roman" w:hAnsi="Times New Roman" w:eastAsia="方正仿宋_GBK" w:cs="Times New Roman"/>
                <w:i w:val="0"/>
                <w:color w:val="auto"/>
                <w:kern w:val="0"/>
                <w:sz w:val="21"/>
                <w:szCs w:val="21"/>
                <w:highlight w:val="none"/>
                <w:u w:val="none"/>
                <w:lang w:val="en-US" w:eastAsia="zh-CN" w:bidi="ar"/>
              </w:rPr>
              <w:t>6.00</w:t>
            </w:r>
          </w:p>
        </w:tc>
        <w:tc>
          <w:tcPr>
            <w:tcW w:w="19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方正仿宋_GBK" w:cs="Times New Roman"/>
                <w:i w:val="0"/>
                <w:color w:val="auto"/>
                <w:sz w:val="21"/>
                <w:szCs w:val="21"/>
                <w:highlight w:val="none"/>
                <w:u w:val="none"/>
                <w:lang w:val="en-US" w:eastAsia="zh"/>
              </w:rPr>
            </w:pPr>
            <w:r>
              <w:rPr>
                <w:rFonts w:hint="eastAsia" w:ascii="Times New Roman" w:hAnsi="Times New Roman" w:eastAsia="方正仿宋_GBK" w:cs="Times New Roman"/>
                <w:i w:val="0"/>
                <w:color w:val="auto"/>
                <w:sz w:val="21"/>
                <w:szCs w:val="21"/>
                <w:highlight w:val="none"/>
                <w:u w:val="none"/>
                <w:lang w:val="en-US" w:eastAsia="zh"/>
              </w:rPr>
              <w:t>5.21</w:t>
            </w:r>
          </w:p>
        </w:tc>
        <w:tc>
          <w:tcPr>
            <w:tcW w:w="18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sz w:val="21"/>
                <w:szCs w:val="21"/>
                <w:highlight w:val="none"/>
                <w:u w:val="none"/>
                <w:lang w:val="en-US"/>
              </w:rPr>
            </w:pPr>
            <w:r>
              <w:rPr>
                <w:rFonts w:hint="default" w:ascii="Times New Roman" w:hAnsi="Times New Roman" w:eastAsia="方正仿宋_GBK" w:cs="Times New Roman"/>
                <w:i w:val="0"/>
                <w:color w:val="auto"/>
                <w:kern w:val="0"/>
                <w:sz w:val="21"/>
                <w:szCs w:val="21"/>
                <w:highlight w:val="none"/>
                <w:u w:val="none"/>
                <w:lang w:val="en-US" w:eastAsia="zh-CN" w:bidi="ar"/>
              </w:rPr>
              <w:t>2.49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3" w:hRule="exact"/>
          <w:jc w:val="center"/>
        </w:trPr>
        <w:tc>
          <w:tcPr>
            <w:tcW w:w="11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kern w:val="0"/>
                <w:sz w:val="21"/>
                <w:szCs w:val="21"/>
                <w:highlight w:val="none"/>
                <w:u w:val="none"/>
                <w:lang w:val="en-US" w:eastAsia="zh-CN" w:bidi="ar"/>
              </w:rPr>
            </w:pPr>
            <w:r>
              <w:rPr>
                <w:rFonts w:hint="default" w:ascii="Times New Roman" w:hAnsi="Times New Roman" w:eastAsia="方正仿宋_GBK" w:cs="Times New Roman"/>
                <w:i w:val="0"/>
                <w:color w:val="auto"/>
                <w:kern w:val="0"/>
                <w:sz w:val="21"/>
                <w:szCs w:val="21"/>
                <w:highlight w:val="none"/>
                <w:u w:val="none"/>
                <w:lang w:val="en-US" w:eastAsia="zh-CN" w:bidi="ar"/>
              </w:rPr>
              <w:t>宿城</w:t>
            </w:r>
          </w:p>
        </w:tc>
        <w:tc>
          <w:tcPr>
            <w:tcW w:w="13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kern w:val="0"/>
                <w:sz w:val="21"/>
                <w:szCs w:val="21"/>
                <w:highlight w:val="none"/>
                <w:u w:val="none"/>
                <w:lang w:val="en-US" w:eastAsia="zh-CN" w:bidi="ar"/>
              </w:rPr>
            </w:pPr>
            <w:r>
              <w:rPr>
                <w:rFonts w:hint="default" w:ascii="Times New Roman" w:hAnsi="Times New Roman" w:eastAsia="方正仿宋_GBK" w:cs="Times New Roman"/>
                <w:i w:val="0"/>
                <w:color w:val="auto"/>
                <w:kern w:val="0"/>
                <w:sz w:val="21"/>
                <w:szCs w:val="21"/>
                <w:highlight w:val="none"/>
                <w:u w:val="none"/>
                <w:lang w:val="en-US" w:eastAsia="zh-CN" w:bidi="ar"/>
              </w:rPr>
              <w:t>4</w:t>
            </w:r>
          </w:p>
        </w:tc>
        <w:tc>
          <w:tcPr>
            <w:tcW w:w="16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kern w:val="0"/>
                <w:sz w:val="21"/>
                <w:szCs w:val="21"/>
                <w:highlight w:val="none"/>
                <w:u w:val="none"/>
                <w:lang w:val="en-US" w:eastAsia="zh-CN" w:bidi="ar"/>
              </w:rPr>
            </w:pPr>
            <w:r>
              <w:rPr>
                <w:rFonts w:hint="default" w:ascii="Times New Roman" w:hAnsi="Times New Roman" w:eastAsia="方正仿宋_GBK" w:cs="Times New Roman"/>
                <w:i w:val="0"/>
                <w:color w:val="auto"/>
                <w:kern w:val="0"/>
                <w:sz w:val="21"/>
                <w:szCs w:val="21"/>
                <w:highlight w:val="none"/>
                <w:u w:val="none"/>
                <w:lang w:val="en-US" w:eastAsia="zh-CN" w:bidi="ar"/>
              </w:rPr>
              <w:t>1.01</w:t>
            </w:r>
          </w:p>
        </w:tc>
        <w:tc>
          <w:tcPr>
            <w:tcW w:w="19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kern w:val="0"/>
                <w:sz w:val="21"/>
                <w:szCs w:val="21"/>
                <w:highlight w:val="none"/>
                <w:u w:val="none"/>
                <w:lang w:val="en-US" w:eastAsia="zh-CN" w:bidi="ar"/>
              </w:rPr>
            </w:pPr>
            <w:r>
              <w:rPr>
                <w:rFonts w:hint="default" w:ascii="Times New Roman" w:hAnsi="Times New Roman" w:eastAsia="方正仿宋_GBK" w:cs="Times New Roman"/>
                <w:i w:val="0"/>
                <w:color w:val="auto"/>
                <w:kern w:val="0"/>
                <w:sz w:val="21"/>
                <w:szCs w:val="21"/>
                <w:highlight w:val="none"/>
                <w:u w:val="none"/>
                <w:lang w:val="en-US" w:eastAsia="zh-CN" w:bidi="ar"/>
              </w:rPr>
              <w:t>0.97</w:t>
            </w:r>
          </w:p>
        </w:tc>
        <w:tc>
          <w:tcPr>
            <w:tcW w:w="18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kern w:val="0"/>
                <w:sz w:val="21"/>
                <w:szCs w:val="21"/>
                <w:highlight w:val="none"/>
                <w:u w:val="none"/>
                <w:lang w:val="en-US" w:eastAsia="zh-CN" w:bidi="ar"/>
              </w:rPr>
            </w:pPr>
            <w:r>
              <w:rPr>
                <w:rFonts w:hint="default" w:ascii="Times New Roman" w:hAnsi="Times New Roman" w:eastAsia="方正仿宋_GBK" w:cs="Times New Roman"/>
                <w:i w:val="0"/>
                <w:color w:val="auto"/>
                <w:kern w:val="0"/>
                <w:sz w:val="21"/>
                <w:szCs w:val="21"/>
                <w:highlight w:val="none"/>
                <w:u w:val="none"/>
                <w:lang w:val="en-US" w:eastAsia="zh-CN" w:bidi="ar"/>
              </w:rPr>
              <w:t>1.01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3" w:hRule="exact"/>
          <w:jc w:val="center"/>
        </w:trPr>
        <w:tc>
          <w:tcPr>
            <w:tcW w:w="11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sz w:val="21"/>
                <w:szCs w:val="21"/>
                <w:highlight w:val="none"/>
                <w:u w:val="none"/>
              </w:rPr>
            </w:pPr>
            <w:r>
              <w:rPr>
                <w:rFonts w:hint="default" w:ascii="Times New Roman" w:hAnsi="Times New Roman" w:eastAsia="方正仿宋_GBK" w:cs="Times New Roman"/>
                <w:i w:val="0"/>
                <w:color w:val="auto"/>
                <w:kern w:val="0"/>
                <w:sz w:val="21"/>
                <w:szCs w:val="21"/>
                <w:highlight w:val="none"/>
                <w:u w:val="none"/>
                <w:lang w:val="en-US" w:eastAsia="zh-CN" w:bidi="ar"/>
              </w:rPr>
              <w:t>沭阳</w:t>
            </w:r>
          </w:p>
        </w:tc>
        <w:tc>
          <w:tcPr>
            <w:tcW w:w="13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sz w:val="21"/>
                <w:szCs w:val="21"/>
                <w:highlight w:val="none"/>
                <w:u w:val="none"/>
                <w:lang w:val="en-US"/>
              </w:rPr>
            </w:pPr>
            <w:r>
              <w:rPr>
                <w:rFonts w:hint="default" w:ascii="Times New Roman" w:hAnsi="Times New Roman" w:eastAsia="方正仿宋_GBK" w:cs="Times New Roman"/>
                <w:i w:val="0"/>
                <w:color w:val="auto"/>
                <w:kern w:val="0"/>
                <w:sz w:val="21"/>
                <w:szCs w:val="21"/>
                <w:highlight w:val="none"/>
                <w:u w:val="none"/>
                <w:lang w:val="en-US" w:eastAsia="zh-CN" w:bidi="ar"/>
              </w:rPr>
              <w:t>10</w:t>
            </w:r>
          </w:p>
        </w:tc>
        <w:tc>
          <w:tcPr>
            <w:tcW w:w="16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sz w:val="21"/>
                <w:szCs w:val="21"/>
                <w:highlight w:val="none"/>
                <w:u w:val="none"/>
                <w:lang w:val="en-US"/>
              </w:rPr>
            </w:pPr>
            <w:r>
              <w:rPr>
                <w:rFonts w:hint="default" w:ascii="Times New Roman" w:hAnsi="Times New Roman" w:eastAsia="方正仿宋_GBK" w:cs="Times New Roman"/>
                <w:i w:val="0"/>
                <w:color w:val="auto"/>
                <w:kern w:val="0"/>
                <w:sz w:val="21"/>
                <w:szCs w:val="21"/>
                <w:highlight w:val="none"/>
                <w:u w:val="none"/>
                <w:lang w:val="en-US" w:eastAsia="zh-CN" w:bidi="ar"/>
              </w:rPr>
              <w:t>1.06</w:t>
            </w:r>
          </w:p>
        </w:tc>
        <w:tc>
          <w:tcPr>
            <w:tcW w:w="19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sz w:val="21"/>
                <w:szCs w:val="21"/>
                <w:highlight w:val="none"/>
                <w:u w:val="none"/>
                <w:lang w:val="en-US"/>
              </w:rPr>
            </w:pPr>
            <w:r>
              <w:rPr>
                <w:rFonts w:hint="default" w:ascii="Times New Roman" w:hAnsi="Times New Roman" w:eastAsia="方正仿宋_GBK" w:cs="Times New Roman"/>
                <w:i w:val="0"/>
                <w:color w:val="auto"/>
                <w:kern w:val="0"/>
                <w:sz w:val="21"/>
                <w:szCs w:val="21"/>
                <w:highlight w:val="none"/>
                <w:u w:val="none"/>
                <w:lang w:val="en-US" w:eastAsia="zh-CN" w:bidi="ar"/>
              </w:rPr>
              <w:t>1.04</w:t>
            </w:r>
          </w:p>
        </w:tc>
        <w:tc>
          <w:tcPr>
            <w:tcW w:w="18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sz w:val="21"/>
                <w:szCs w:val="21"/>
                <w:highlight w:val="none"/>
                <w:u w:val="none"/>
                <w:lang w:val="en-US"/>
              </w:rPr>
            </w:pPr>
            <w:r>
              <w:rPr>
                <w:rFonts w:hint="default" w:ascii="Times New Roman" w:hAnsi="Times New Roman" w:eastAsia="方正仿宋_GBK" w:cs="Times New Roman"/>
                <w:i w:val="0"/>
                <w:color w:val="auto"/>
                <w:kern w:val="0"/>
                <w:sz w:val="21"/>
                <w:szCs w:val="21"/>
                <w:highlight w:val="none"/>
                <w:u w:val="none"/>
                <w:lang w:val="en-US" w:eastAsia="zh-CN" w:bidi="ar"/>
              </w:rPr>
              <w:t>2.15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3" w:hRule="exact"/>
          <w:jc w:val="center"/>
        </w:trPr>
        <w:tc>
          <w:tcPr>
            <w:tcW w:w="11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sz w:val="21"/>
                <w:szCs w:val="21"/>
                <w:highlight w:val="none"/>
                <w:u w:val="none"/>
              </w:rPr>
            </w:pPr>
            <w:r>
              <w:rPr>
                <w:rFonts w:hint="default" w:ascii="Times New Roman" w:hAnsi="Times New Roman" w:eastAsia="方正仿宋_GBK" w:cs="Times New Roman"/>
                <w:i w:val="0"/>
                <w:color w:val="auto"/>
                <w:kern w:val="0"/>
                <w:sz w:val="21"/>
                <w:szCs w:val="21"/>
                <w:highlight w:val="none"/>
                <w:u w:val="none"/>
                <w:lang w:val="en-US" w:eastAsia="zh-CN" w:bidi="ar"/>
              </w:rPr>
              <w:t>泗阳</w:t>
            </w:r>
          </w:p>
        </w:tc>
        <w:tc>
          <w:tcPr>
            <w:tcW w:w="13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sz w:val="21"/>
                <w:szCs w:val="21"/>
                <w:highlight w:val="none"/>
                <w:u w:val="none"/>
                <w:lang w:val="en-US"/>
              </w:rPr>
            </w:pPr>
            <w:r>
              <w:rPr>
                <w:rFonts w:hint="default" w:ascii="Times New Roman" w:hAnsi="Times New Roman" w:eastAsia="方正仿宋_GBK" w:cs="Times New Roman"/>
                <w:i w:val="0"/>
                <w:color w:val="auto"/>
                <w:kern w:val="0"/>
                <w:sz w:val="21"/>
                <w:szCs w:val="21"/>
                <w:highlight w:val="none"/>
                <w:u w:val="none"/>
                <w:lang w:val="en-US" w:eastAsia="zh-CN" w:bidi="ar"/>
              </w:rPr>
              <w:t>1</w:t>
            </w:r>
            <w:r>
              <w:rPr>
                <w:rFonts w:hint="eastAsia" w:ascii="Times New Roman" w:hAnsi="Times New Roman" w:eastAsia="方正仿宋_GBK" w:cs="Times New Roman"/>
                <w:i w:val="0"/>
                <w:color w:val="auto"/>
                <w:kern w:val="0"/>
                <w:sz w:val="21"/>
                <w:szCs w:val="21"/>
                <w:highlight w:val="none"/>
                <w:u w:val="none"/>
                <w:lang w:val="en-US" w:eastAsia="zh-CN" w:bidi="ar"/>
              </w:rPr>
              <w:t>5</w:t>
            </w:r>
          </w:p>
        </w:tc>
        <w:tc>
          <w:tcPr>
            <w:tcW w:w="16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sz w:val="21"/>
                <w:szCs w:val="21"/>
                <w:highlight w:val="none"/>
                <w:u w:val="none"/>
                <w:lang w:val="en-US" w:eastAsia="zh-CN"/>
              </w:rPr>
            </w:pPr>
            <w:r>
              <w:rPr>
                <w:rFonts w:hint="eastAsia" w:ascii="Times New Roman" w:hAnsi="Times New Roman" w:eastAsia="方正仿宋_GBK" w:cs="Times New Roman"/>
                <w:i w:val="0"/>
                <w:color w:val="auto"/>
                <w:sz w:val="21"/>
                <w:szCs w:val="21"/>
                <w:highlight w:val="none"/>
                <w:u w:val="none"/>
                <w:lang w:val="en-US" w:eastAsia="zh-CN"/>
              </w:rPr>
              <w:t>1.34</w:t>
            </w:r>
          </w:p>
        </w:tc>
        <w:tc>
          <w:tcPr>
            <w:tcW w:w="19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sz w:val="21"/>
                <w:szCs w:val="21"/>
                <w:highlight w:val="none"/>
                <w:u w:val="none"/>
                <w:lang w:val="en-US" w:eastAsia="zh-CN"/>
              </w:rPr>
            </w:pPr>
            <w:r>
              <w:rPr>
                <w:rFonts w:hint="eastAsia" w:ascii="Times New Roman" w:hAnsi="Times New Roman" w:eastAsia="方正仿宋_GBK" w:cs="Times New Roman"/>
                <w:i w:val="0"/>
                <w:color w:val="auto"/>
                <w:sz w:val="21"/>
                <w:szCs w:val="21"/>
                <w:highlight w:val="none"/>
                <w:u w:val="none"/>
                <w:lang w:val="en-US" w:eastAsia="zh-CN"/>
              </w:rPr>
              <w:t>1.24</w:t>
            </w:r>
          </w:p>
        </w:tc>
        <w:tc>
          <w:tcPr>
            <w:tcW w:w="18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sz w:val="21"/>
                <w:szCs w:val="21"/>
                <w:highlight w:val="none"/>
                <w:u w:val="none"/>
                <w:lang w:val="en-US"/>
              </w:rPr>
            </w:pPr>
            <w:r>
              <w:rPr>
                <w:rFonts w:hint="eastAsia" w:ascii="Times New Roman" w:hAnsi="Times New Roman" w:eastAsia="方正仿宋_GBK" w:cs="Times New Roman"/>
                <w:i w:val="0"/>
                <w:color w:val="auto"/>
                <w:kern w:val="0"/>
                <w:sz w:val="21"/>
                <w:szCs w:val="21"/>
                <w:highlight w:val="none"/>
                <w:u w:val="none"/>
                <w:lang w:val="en-US" w:eastAsia="zh-CN" w:bidi="ar"/>
              </w:rPr>
              <w:t>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3" w:hRule="exact"/>
          <w:jc w:val="center"/>
        </w:trPr>
        <w:tc>
          <w:tcPr>
            <w:tcW w:w="11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sz w:val="21"/>
                <w:szCs w:val="21"/>
                <w:highlight w:val="none"/>
                <w:u w:val="none"/>
              </w:rPr>
            </w:pPr>
            <w:r>
              <w:rPr>
                <w:rFonts w:hint="default" w:ascii="Times New Roman" w:hAnsi="Times New Roman" w:eastAsia="方正仿宋_GBK" w:cs="Times New Roman"/>
                <w:i w:val="0"/>
                <w:color w:val="auto"/>
                <w:kern w:val="0"/>
                <w:sz w:val="21"/>
                <w:szCs w:val="21"/>
                <w:highlight w:val="none"/>
                <w:u w:val="none"/>
                <w:lang w:val="en-US" w:eastAsia="zh-CN" w:bidi="ar"/>
              </w:rPr>
              <w:t>泗洪</w:t>
            </w:r>
          </w:p>
        </w:tc>
        <w:tc>
          <w:tcPr>
            <w:tcW w:w="13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sz w:val="21"/>
                <w:szCs w:val="21"/>
                <w:highlight w:val="none"/>
                <w:u w:val="none"/>
              </w:rPr>
            </w:pPr>
            <w:r>
              <w:rPr>
                <w:rFonts w:hint="default" w:ascii="Times New Roman" w:hAnsi="Times New Roman" w:eastAsia="方正仿宋_GBK" w:cs="Times New Roman"/>
                <w:i w:val="0"/>
                <w:color w:val="auto"/>
                <w:kern w:val="0"/>
                <w:sz w:val="21"/>
                <w:szCs w:val="21"/>
                <w:highlight w:val="none"/>
                <w:u w:val="none"/>
                <w:lang w:val="en-US" w:eastAsia="zh-CN" w:bidi="ar"/>
              </w:rPr>
              <w:t>3</w:t>
            </w:r>
          </w:p>
        </w:tc>
        <w:tc>
          <w:tcPr>
            <w:tcW w:w="16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sz w:val="21"/>
                <w:szCs w:val="21"/>
                <w:highlight w:val="none"/>
                <w:u w:val="none"/>
                <w:lang w:val="en-US"/>
              </w:rPr>
            </w:pPr>
            <w:r>
              <w:rPr>
                <w:rFonts w:hint="default" w:ascii="Times New Roman" w:hAnsi="Times New Roman" w:eastAsia="方正仿宋_GBK" w:cs="Times New Roman"/>
                <w:i w:val="0"/>
                <w:color w:val="auto"/>
                <w:kern w:val="0"/>
                <w:sz w:val="21"/>
                <w:szCs w:val="21"/>
                <w:highlight w:val="none"/>
                <w:u w:val="none"/>
                <w:lang w:val="en-US" w:eastAsia="zh-CN" w:bidi="ar"/>
              </w:rPr>
              <w:t>0.79</w:t>
            </w:r>
          </w:p>
        </w:tc>
        <w:tc>
          <w:tcPr>
            <w:tcW w:w="19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sz w:val="21"/>
                <w:szCs w:val="21"/>
                <w:highlight w:val="none"/>
                <w:u w:val="none"/>
              </w:rPr>
            </w:pPr>
            <w:r>
              <w:rPr>
                <w:rFonts w:hint="default" w:ascii="Times New Roman" w:hAnsi="Times New Roman" w:eastAsia="方正仿宋_GBK" w:cs="Times New Roman"/>
                <w:i w:val="0"/>
                <w:color w:val="auto"/>
                <w:kern w:val="0"/>
                <w:sz w:val="21"/>
                <w:szCs w:val="21"/>
                <w:highlight w:val="none"/>
                <w:u w:val="none"/>
                <w:lang w:val="en-US" w:eastAsia="zh-CN" w:bidi="ar"/>
              </w:rPr>
              <w:t>0.79</w:t>
            </w:r>
          </w:p>
        </w:tc>
        <w:tc>
          <w:tcPr>
            <w:tcW w:w="18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sz w:val="21"/>
                <w:szCs w:val="21"/>
                <w:highlight w:val="none"/>
                <w:u w:val="none"/>
              </w:rPr>
            </w:pPr>
            <w:r>
              <w:rPr>
                <w:rFonts w:hint="default" w:ascii="Times New Roman" w:hAnsi="Times New Roman" w:eastAsia="方正仿宋_GBK" w:cs="Times New Roman"/>
                <w:i w:val="0"/>
                <w:color w:val="auto"/>
                <w:kern w:val="0"/>
                <w:sz w:val="21"/>
                <w:szCs w:val="21"/>
                <w:highlight w:val="none"/>
                <w:u w:val="none"/>
                <w:lang w:val="en-US" w:eastAsia="zh-CN" w:bidi="ar"/>
              </w:rPr>
              <w:t>0.79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3" w:hRule="exact"/>
          <w:jc w:val="center"/>
        </w:trPr>
        <w:tc>
          <w:tcPr>
            <w:tcW w:w="11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sz w:val="21"/>
                <w:szCs w:val="21"/>
                <w:highlight w:val="none"/>
                <w:u w:val="none"/>
                <w:lang w:val="en-US" w:eastAsia="zh-CN"/>
              </w:rPr>
            </w:pPr>
            <w:r>
              <w:rPr>
                <w:rFonts w:hint="default" w:ascii="Times New Roman" w:hAnsi="Times New Roman" w:eastAsia="方正仿宋_GBK" w:cs="Times New Roman"/>
                <w:i w:val="0"/>
                <w:color w:val="auto"/>
                <w:sz w:val="21"/>
                <w:szCs w:val="21"/>
                <w:highlight w:val="none"/>
                <w:u w:val="none"/>
                <w:lang w:val="en-US" w:eastAsia="zh-CN"/>
              </w:rPr>
              <w:t>合计</w:t>
            </w:r>
          </w:p>
        </w:tc>
        <w:tc>
          <w:tcPr>
            <w:tcW w:w="13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sz w:val="21"/>
                <w:szCs w:val="21"/>
                <w:highlight w:val="none"/>
                <w:u w:val="none"/>
                <w:lang w:val="en-US"/>
              </w:rPr>
            </w:pPr>
            <w:r>
              <w:rPr>
                <w:rFonts w:hint="eastAsia" w:ascii="Times New Roman" w:hAnsi="Times New Roman" w:eastAsia="方正仿宋_GBK" w:cs="Times New Roman"/>
                <w:i w:val="0"/>
                <w:color w:val="auto"/>
                <w:kern w:val="0"/>
                <w:sz w:val="21"/>
                <w:szCs w:val="21"/>
                <w:highlight w:val="none"/>
                <w:u w:val="none"/>
                <w:lang w:val="en-US" w:eastAsia="zh-CN" w:bidi="ar"/>
              </w:rPr>
              <w:t>38</w:t>
            </w:r>
          </w:p>
        </w:tc>
        <w:tc>
          <w:tcPr>
            <w:tcW w:w="16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sz w:val="21"/>
                <w:szCs w:val="21"/>
                <w:highlight w:val="none"/>
                <w:u w:val="none"/>
                <w:lang w:val="en-US" w:eastAsia="zh-CN"/>
              </w:rPr>
            </w:pPr>
            <w:r>
              <w:rPr>
                <w:rFonts w:hint="eastAsia" w:ascii="Times New Roman" w:hAnsi="Times New Roman" w:eastAsia="方正仿宋_GBK" w:cs="Times New Roman"/>
                <w:i w:val="0"/>
                <w:color w:val="auto"/>
                <w:sz w:val="21"/>
                <w:szCs w:val="21"/>
                <w:highlight w:val="none"/>
                <w:u w:val="none"/>
                <w:lang w:val="en-US" w:eastAsia="zh-CN"/>
              </w:rPr>
              <w:t>10.20</w:t>
            </w:r>
          </w:p>
        </w:tc>
        <w:tc>
          <w:tcPr>
            <w:tcW w:w="19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方正仿宋_GBK" w:cs="Times New Roman"/>
                <w:i w:val="0"/>
                <w:color w:val="auto"/>
                <w:sz w:val="21"/>
                <w:szCs w:val="21"/>
                <w:highlight w:val="none"/>
                <w:u w:val="none"/>
                <w:lang w:val="en-US" w:eastAsia="zh"/>
              </w:rPr>
            </w:pPr>
            <w:r>
              <w:rPr>
                <w:rFonts w:hint="eastAsia" w:ascii="Times New Roman" w:hAnsi="Times New Roman" w:eastAsia="方正仿宋_GBK" w:cs="Times New Roman"/>
                <w:i w:val="0"/>
                <w:color w:val="auto"/>
                <w:sz w:val="21"/>
                <w:szCs w:val="21"/>
                <w:highlight w:val="none"/>
                <w:u w:val="none"/>
                <w:lang w:val="en-US" w:eastAsia="zh"/>
              </w:rPr>
              <w:t>9.25</w:t>
            </w:r>
          </w:p>
        </w:tc>
        <w:tc>
          <w:tcPr>
            <w:tcW w:w="18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sz w:val="21"/>
                <w:szCs w:val="21"/>
                <w:highlight w:val="none"/>
                <w:u w:val="none"/>
                <w:lang w:val="en-US" w:eastAsia="zh-CN"/>
              </w:rPr>
            </w:pPr>
            <w:r>
              <w:rPr>
                <w:rFonts w:hint="eastAsia" w:ascii="Times New Roman" w:hAnsi="Times New Roman" w:eastAsia="方正仿宋_GBK" w:cs="Times New Roman"/>
                <w:i w:val="0"/>
                <w:color w:val="auto"/>
                <w:sz w:val="21"/>
                <w:szCs w:val="21"/>
                <w:highlight w:val="none"/>
                <w:u w:val="none"/>
                <w:lang w:val="en-US" w:eastAsia="zh-CN"/>
              </w:rPr>
              <w:t>8.21</w:t>
            </w:r>
          </w:p>
        </w:tc>
      </w:tr>
    </w:tbl>
    <w:p>
      <w:pPr>
        <w:rPr>
          <w:rFonts w:hint="default" w:ascii="Times New Roman" w:hAnsi="Times New Roman" w:eastAsia="黑体" w:cs="Times New Roman"/>
          <w:b w:val="0"/>
          <w:bCs/>
          <w:color w:val="auto"/>
          <w:sz w:val="21"/>
          <w:szCs w:val="21"/>
          <w:highlight w:val="none"/>
        </w:rPr>
      </w:pPr>
      <w:bookmarkStart w:id="96" w:name="_Toc22948"/>
      <w:r>
        <w:rPr>
          <w:rFonts w:hint="default" w:ascii="Times New Roman" w:hAnsi="Times New Roman" w:eastAsia="黑体" w:cs="Times New Roman"/>
          <w:b w:val="0"/>
          <w:bCs/>
          <w:color w:val="auto"/>
          <w:sz w:val="21"/>
          <w:szCs w:val="21"/>
          <w:highlight w:val="none"/>
        </w:rPr>
        <w:br w:type="page"/>
      </w:r>
    </w:p>
    <w:p>
      <w:pPr>
        <w:pStyle w:val="22"/>
        <w:keepNext/>
        <w:keepLines/>
        <w:pageBreakBefore w:val="0"/>
        <w:widowControl w:val="0"/>
        <w:kinsoku/>
        <w:wordWrap/>
        <w:overflowPunct/>
        <w:topLinePunct w:val="0"/>
        <w:autoSpaceDE/>
        <w:autoSpaceDN/>
        <w:bidi w:val="0"/>
        <w:adjustRightInd/>
        <w:snapToGrid/>
        <w:spacing w:before="0" w:beforeLines="0" w:after="0" w:afterLines="0"/>
        <w:ind w:firstLine="0" w:firstLineChars="0"/>
        <w:textAlignment w:val="auto"/>
        <w:rPr>
          <w:rFonts w:hint="default" w:ascii="Times New Roman" w:hAnsi="Times New Roman" w:eastAsia="黑体" w:cs="Times New Roman"/>
          <w:b w:val="0"/>
          <w:bCs/>
          <w:color w:val="auto"/>
          <w:sz w:val="21"/>
          <w:szCs w:val="21"/>
          <w:highlight w:val="none"/>
        </w:rPr>
      </w:pPr>
      <w:r>
        <w:rPr>
          <w:rFonts w:hint="default" w:ascii="Times New Roman" w:hAnsi="Times New Roman" w:eastAsia="黑体" w:cs="Times New Roman"/>
          <w:b w:val="0"/>
          <w:bCs/>
          <w:color w:val="auto"/>
          <w:sz w:val="21"/>
          <w:szCs w:val="21"/>
          <w:highlight w:val="none"/>
        </w:rPr>
        <w:t>表1</w:t>
      </w:r>
      <w:r>
        <w:rPr>
          <w:rFonts w:hint="default" w:ascii="Times New Roman" w:hAnsi="Times New Roman" w:eastAsia="黑体" w:cs="Times New Roman"/>
          <w:b w:val="0"/>
          <w:bCs/>
          <w:color w:val="auto"/>
          <w:sz w:val="21"/>
          <w:szCs w:val="21"/>
          <w:highlight w:val="none"/>
          <w:lang w:val="en-US" w:eastAsia="zh-CN"/>
        </w:rPr>
        <w:t>1</w:t>
      </w:r>
      <w:r>
        <w:rPr>
          <w:rFonts w:hint="default" w:ascii="Times New Roman" w:hAnsi="Times New Roman" w:eastAsia="黑体" w:cs="Times New Roman"/>
          <w:b w:val="0"/>
          <w:bCs/>
          <w:color w:val="auto"/>
          <w:sz w:val="21"/>
          <w:szCs w:val="21"/>
          <w:highlight w:val="none"/>
        </w:rPr>
        <w:t>：</w:t>
      </w:r>
      <w:r>
        <w:rPr>
          <w:rFonts w:hint="default" w:ascii="Times New Roman" w:hAnsi="Times New Roman" w:eastAsia="黑体" w:cs="Times New Roman"/>
          <w:b w:val="0"/>
          <w:bCs/>
          <w:color w:val="auto"/>
          <w:sz w:val="21"/>
          <w:szCs w:val="21"/>
          <w:highlight w:val="none"/>
          <w:lang w:val="en-US" w:eastAsia="zh-CN"/>
        </w:rPr>
        <w:t>4小时</w:t>
      </w:r>
      <w:r>
        <w:rPr>
          <w:rFonts w:hint="default" w:ascii="Times New Roman" w:hAnsi="Times New Roman" w:eastAsia="黑体" w:cs="Times New Roman"/>
          <w:b w:val="0"/>
          <w:bCs/>
          <w:color w:val="auto"/>
          <w:sz w:val="21"/>
          <w:szCs w:val="21"/>
          <w:highlight w:val="none"/>
        </w:rPr>
        <w:t>快上快下措施统计表</w:t>
      </w:r>
      <w:bookmarkEnd w:id="96"/>
    </w:p>
    <w:p>
      <w:pPr>
        <w:pStyle w:val="2"/>
        <w:ind w:firstLine="482"/>
        <w:jc w:val="center"/>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b/>
          <w:bCs/>
          <w:color w:val="auto"/>
          <w:sz w:val="21"/>
          <w:szCs w:val="21"/>
          <w:highlight w:val="none"/>
          <w:lang w:val="en-US" w:eastAsia="zh-CN"/>
        </w:rPr>
        <w:t xml:space="preserve">                    </w:t>
      </w:r>
      <w:r>
        <w:rPr>
          <w:rFonts w:hint="eastAsia" w:ascii="Times New Roman" w:hAnsi="Times New Roman" w:eastAsia="方正仿宋_GBK" w:cs="Times New Roman"/>
          <w:b/>
          <w:bCs/>
          <w:color w:val="auto"/>
          <w:sz w:val="21"/>
          <w:szCs w:val="21"/>
          <w:highlight w:val="none"/>
          <w:lang w:val="en-US" w:eastAsia="zh"/>
        </w:rPr>
        <w:t xml:space="preserve">                                </w:t>
      </w:r>
      <w:r>
        <w:rPr>
          <w:rFonts w:hint="default" w:ascii="Times New Roman" w:hAnsi="Times New Roman" w:eastAsia="方正仿宋_GBK" w:cs="Times New Roman"/>
          <w:b/>
          <w:bCs/>
          <w:color w:val="auto"/>
          <w:sz w:val="21"/>
          <w:szCs w:val="21"/>
          <w:highlight w:val="none"/>
          <w:lang w:val="en-US" w:eastAsia="zh-CN"/>
        </w:rPr>
        <w:t xml:space="preserve"> </w:t>
      </w:r>
      <w:r>
        <w:rPr>
          <w:rFonts w:hint="default" w:ascii="Times New Roman" w:hAnsi="Times New Roman" w:eastAsia="方正仿宋_GBK" w:cs="Times New Roman"/>
          <w:b/>
          <w:bCs/>
          <w:color w:val="auto"/>
          <w:sz w:val="21"/>
          <w:szCs w:val="21"/>
          <w:highlight w:val="none"/>
        </w:rPr>
        <w:t>单位：户、万千瓦</w:t>
      </w:r>
    </w:p>
    <w:tbl>
      <w:tblPr>
        <w:tblStyle w:val="13"/>
        <w:tblW w:w="8017"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195"/>
        <w:gridCol w:w="1301"/>
        <w:gridCol w:w="1689"/>
        <w:gridCol w:w="1988"/>
        <w:gridCol w:w="18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40" w:hRule="atLeast"/>
          <w:jc w:val="center"/>
        </w:trPr>
        <w:tc>
          <w:tcPr>
            <w:tcW w:w="11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pageBreakBefore w:val="0"/>
              <w:kinsoku/>
              <w:wordWrap/>
              <w:overflowPunct/>
              <w:topLinePunct w:val="0"/>
              <w:autoSpaceDE/>
              <w:autoSpaceDN/>
              <w:bidi w:val="0"/>
              <w:adjustRightInd/>
              <w:snapToGrid/>
              <w:ind w:firstLine="0" w:firstLineChars="0"/>
              <w:jc w:val="center"/>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lang w:val="en-US" w:eastAsia="zh-CN"/>
              </w:rPr>
              <w:t>县区</w:t>
            </w:r>
          </w:p>
        </w:tc>
        <w:tc>
          <w:tcPr>
            <w:tcW w:w="13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pageBreakBefore w:val="0"/>
              <w:kinsoku/>
              <w:wordWrap/>
              <w:overflowPunct/>
              <w:topLinePunct w:val="0"/>
              <w:autoSpaceDE/>
              <w:autoSpaceDN/>
              <w:bidi w:val="0"/>
              <w:adjustRightInd/>
              <w:snapToGrid/>
              <w:ind w:firstLine="0" w:firstLineChars="0"/>
              <w:jc w:val="center"/>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lang w:val="en-US" w:eastAsia="zh-CN"/>
              </w:rPr>
              <w:t>签约户数</w:t>
            </w:r>
          </w:p>
        </w:tc>
        <w:tc>
          <w:tcPr>
            <w:tcW w:w="16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pageBreakBefore w:val="0"/>
              <w:kinsoku/>
              <w:wordWrap/>
              <w:overflowPunct/>
              <w:topLinePunct w:val="0"/>
              <w:autoSpaceDE/>
              <w:autoSpaceDN/>
              <w:bidi w:val="0"/>
              <w:adjustRightInd/>
              <w:snapToGrid/>
              <w:ind w:firstLine="0" w:firstLineChars="0"/>
              <w:jc w:val="center"/>
              <w:rPr>
                <w:rFonts w:hint="default" w:ascii="Times New Roman" w:hAnsi="Times New Roman" w:eastAsia="方正仿宋_GBK" w:cs="Times New Roman"/>
                <w:b/>
                <w:bCs/>
                <w:color w:val="auto"/>
                <w:sz w:val="21"/>
                <w:szCs w:val="21"/>
                <w:highlight w:val="none"/>
                <w:lang w:val="en-US"/>
              </w:rPr>
            </w:pPr>
            <w:r>
              <w:rPr>
                <w:rFonts w:hint="default" w:ascii="Times New Roman" w:hAnsi="Times New Roman" w:eastAsia="方正仿宋_GBK" w:cs="Times New Roman"/>
                <w:b/>
                <w:bCs/>
                <w:color w:val="auto"/>
                <w:sz w:val="21"/>
                <w:szCs w:val="21"/>
                <w:highlight w:val="none"/>
                <w:lang w:val="en-US" w:eastAsia="zh-CN"/>
              </w:rPr>
              <w:t>早峰</w:t>
            </w:r>
            <w:r>
              <w:rPr>
                <w:rFonts w:hint="eastAsia" w:ascii="Times New Roman" w:hAnsi="Times New Roman" w:eastAsia="方正仿宋_GBK" w:cs="Times New Roman"/>
                <w:b/>
                <w:bCs/>
                <w:color w:val="auto"/>
                <w:sz w:val="21"/>
                <w:szCs w:val="21"/>
                <w:highlight w:val="none"/>
                <w:lang w:val="en-US" w:eastAsia="zh-CN"/>
              </w:rPr>
              <w:t>最大可调负荷</w:t>
            </w:r>
          </w:p>
        </w:tc>
        <w:tc>
          <w:tcPr>
            <w:tcW w:w="19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pageBreakBefore w:val="0"/>
              <w:kinsoku/>
              <w:wordWrap/>
              <w:overflowPunct/>
              <w:topLinePunct w:val="0"/>
              <w:autoSpaceDE/>
              <w:autoSpaceDN/>
              <w:bidi w:val="0"/>
              <w:adjustRightInd/>
              <w:snapToGrid/>
              <w:ind w:firstLine="0" w:firstLineChars="0"/>
              <w:jc w:val="center"/>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lang w:val="en-US" w:eastAsia="zh-CN"/>
              </w:rPr>
              <w:t>腰峰</w:t>
            </w:r>
            <w:r>
              <w:rPr>
                <w:rFonts w:hint="eastAsia" w:ascii="Times New Roman" w:hAnsi="Times New Roman" w:eastAsia="方正仿宋_GBK" w:cs="Times New Roman"/>
                <w:b/>
                <w:bCs/>
                <w:color w:val="auto"/>
                <w:sz w:val="21"/>
                <w:szCs w:val="21"/>
                <w:highlight w:val="none"/>
                <w:lang w:val="en-US" w:eastAsia="zh-CN"/>
              </w:rPr>
              <w:t>最大可调负荷</w:t>
            </w:r>
          </w:p>
        </w:tc>
        <w:tc>
          <w:tcPr>
            <w:tcW w:w="18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pageBreakBefore w:val="0"/>
              <w:kinsoku/>
              <w:wordWrap/>
              <w:overflowPunct/>
              <w:topLinePunct w:val="0"/>
              <w:autoSpaceDE/>
              <w:autoSpaceDN/>
              <w:bidi w:val="0"/>
              <w:adjustRightInd/>
              <w:snapToGrid/>
              <w:ind w:firstLine="0" w:firstLineChars="0"/>
              <w:jc w:val="center"/>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lang w:val="en-US" w:eastAsia="zh-CN"/>
              </w:rPr>
              <w:t>晚峰</w:t>
            </w:r>
            <w:r>
              <w:rPr>
                <w:rFonts w:hint="eastAsia" w:ascii="Times New Roman" w:hAnsi="Times New Roman" w:eastAsia="方正仿宋_GBK" w:cs="Times New Roman"/>
                <w:b/>
                <w:bCs/>
                <w:color w:val="auto"/>
                <w:sz w:val="21"/>
                <w:szCs w:val="21"/>
                <w:highlight w:val="none"/>
                <w:lang w:val="en-US" w:eastAsia="zh-CN"/>
              </w:rPr>
              <w:t>最大可调负荷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3" w:hRule="exact"/>
          <w:jc w:val="center"/>
        </w:trPr>
        <w:tc>
          <w:tcPr>
            <w:tcW w:w="11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sz w:val="21"/>
                <w:szCs w:val="21"/>
                <w:highlight w:val="none"/>
                <w:u w:val="none"/>
              </w:rPr>
            </w:pPr>
            <w:r>
              <w:rPr>
                <w:rFonts w:hint="default" w:ascii="Times New Roman" w:hAnsi="Times New Roman" w:eastAsia="方正仿宋_GBK" w:cs="Times New Roman"/>
                <w:i w:val="0"/>
                <w:color w:val="auto"/>
                <w:kern w:val="0"/>
                <w:sz w:val="21"/>
                <w:szCs w:val="21"/>
                <w:highlight w:val="none"/>
                <w:u w:val="none"/>
                <w:lang w:val="en-US" w:eastAsia="zh-CN" w:bidi="ar"/>
              </w:rPr>
              <w:t>宿豫</w:t>
            </w:r>
          </w:p>
        </w:tc>
        <w:tc>
          <w:tcPr>
            <w:tcW w:w="13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sz w:val="21"/>
                <w:szCs w:val="21"/>
                <w:highlight w:val="none"/>
                <w:u w:val="none"/>
              </w:rPr>
            </w:pPr>
            <w:r>
              <w:rPr>
                <w:rFonts w:hint="default" w:ascii="Times New Roman" w:hAnsi="Times New Roman" w:eastAsia="方正仿宋_GBK" w:cs="Times New Roman"/>
                <w:i w:val="0"/>
                <w:color w:val="auto"/>
                <w:kern w:val="0"/>
                <w:sz w:val="21"/>
                <w:szCs w:val="21"/>
                <w:highlight w:val="none"/>
                <w:u w:val="none"/>
                <w:lang w:val="en-US" w:eastAsia="zh-CN" w:bidi="ar"/>
              </w:rPr>
              <w:t>6</w:t>
            </w:r>
          </w:p>
        </w:tc>
        <w:tc>
          <w:tcPr>
            <w:tcW w:w="16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sz w:val="21"/>
                <w:szCs w:val="21"/>
                <w:highlight w:val="none"/>
                <w:u w:val="none"/>
                <w:lang w:val="en-US"/>
              </w:rPr>
            </w:pPr>
            <w:r>
              <w:rPr>
                <w:rFonts w:hint="default" w:ascii="Times New Roman" w:hAnsi="Times New Roman" w:eastAsia="方正仿宋_GBK" w:cs="Times New Roman"/>
                <w:i w:val="0"/>
                <w:color w:val="auto"/>
                <w:kern w:val="0"/>
                <w:sz w:val="21"/>
                <w:szCs w:val="21"/>
                <w:highlight w:val="none"/>
                <w:u w:val="none"/>
                <w:lang w:val="en-US" w:eastAsia="zh-CN" w:bidi="ar"/>
              </w:rPr>
              <w:t>6.31</w:t>
            </w:r>
          </w:p>
        </w:tc>
        <w:tc>
          <w:tcPr>
            <w:tcW w:w="19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方正仿宋_GBK" w:cs="Times New Roman"/>
                <w:i w:val="0"/>
                <w:color w:val="auto"/>
                <w:sz w:val="21"/>
                <w:szCs w:val="21"/>
                <w:highlight w:val="none"/>
                <w:u w:val="none"/>
                <w:lang w:val="en-US" w:eastAsia="zh"/>
              </w:rPr>
            </w:pPr>
            <w:r>
              <w:rPr>
                <w:rFonts w:hint="eastAsia" w:ascii="Times New Roman" w:hAnsi="Times New Roman" w:eastAsia="方正仿宋_GBK" w:cs="Times New Roman"/>
                <w:i w:val="0"/>
                <w:color w:val="auto"/>
                <w:sz w:val="21"/>
                <w:szCs w:val="21"/>
                <w:highlight w:val="none"/>
                <w:u w:val="none"/>
                <w:lang w:val="en-US" w:eastAsia="zh"/>
              </w:rPr>
              <w:t>5.44</w:t>
            </w:r>
          </w:p>
        </w:tc>
        <w:tc>
          <w:tcPr>
            <w:tcW w:w="18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sz w:val="21"/>
                <w:szCs w:val="21"/>
                <w:highlight w:val="none"/>
                <w:u w:val="none"/>
                <w:lang w:val="en-US"/>
              </w:rPr>
            </w:pPr>
            <w:r>
              <w:rPr>
                <w:rFonts w:hint="default" w:ascii="Times New Roman" w:hAnsi="Times New Roman" w:eastAsia="方正仿宋_GBK" w:cs="Times New Roman"/>
                <w:i w:val="0"/>
                <w:color w:val="auto"/>
                <w:kern w:val="0"/>
                <w:sz w:val="21"/>
                <w:szCs w:val="21"/>
                <w:highlight w:val="none"/>
                <w:u w:val="none"/>
                <w:lang w:val="en-US" w:eastAsia="zh-CN" w:bidi="ar"/>
              </w:rPr>
              <w:t>2.72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3" w:hRule="exact"/>
          <w:jc w:val="center"/>
        </w:trPr>
        <w:tc>
          <w:tcPr>
            <w:tcW w:w="11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kern w:val="0"/>
                <w:sz w:val="21"/>
                <w:szCs w:val="21"/>
                <w:highlight w:val="none"/>
                <w:u w:val="none"/>
                <w:lang w:val="en-US" w:eastAsia="zh-CN" w:bidi="ar"/>
              </w:rPr>
            </w:pPr>
            <w:r>
              <w:rPr>
                <w:rFonts w:hint="default" w:ascii="Times New Roman" w:hAnsi="Times New Roman" w:eastAsia="方正仿宋_GBK" w:cs="Times New Roman"/>
                <w:i w:val="0"/>
                <w:color w:val="auto"/>
                <w:kern w:val="0"/>
                <w:sz w:val="21"/>
                <w:szCs w:val="21"/>
                <w:highlight w:val="none"/>
                <w:u w:val="none"/>
                <w:lang w:val="en-US" w:eastAsia="zh-CN" w:bidi="ar"/>
              </w:rPr>
              <w:t>宿城</w:t>
            </w:r>
          </w:p>
        </w:tc>
        <w:tc>
          <w:tcPr>
            <w:tcW w:w="13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kern w:val="0"/>
                <w:sz w:val="21"/>
                <w:szCs w:val="21"/>
                <w:highlight w:val="none"/>
                <w:u w:val="none"/>
                <w:lang w:val="en-US" w:eastAsia="zh-CN" w:bidi="ar"/>
              </w:rPr>
            </w:pPr>
            <w:r>
              <w:rPr>
                <w:rFonts w:hint="default" w:ascii="Times New Roman" w:hAnsi="Times New Roman" w:eastAsia="方正仿宋_GBK" w:cs="Times New Roman"/>
                <w:i w:val="0"/>
                <w:color w:val="auto"/>
                <w:kern w:val="0"/>
                <w:sz w:val="21"/>
                <w:szCs w:val="21"/>
                <w:highlight w:val="none"/>
                <w:u w:val="none"/>
                <w:lang w:val="en-US" w:eastAsia="zh-CN" w:bidi="ar"/>
              </w:rPr>
              <w:t>4</w:t>
            </w:r>
          </w:p>
        </w:tc>
        <w:tc>
          <w:tcPr>
            <w:tcW w:w="16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kern w:val="0"/>
                <w:sz w:val="21"/>
                <w:szCs w:val="21"/>
                <w:highlight w:val="none"/>
                <w:u w:val="none"/>
                <w:lang w:val="en-US" w:eastAsia="zh-CN" w:bidi="ar"/>
              </w:rPr>
            </w:pPr>
            <w:r>
              <w:rPr>
                <w:rFonts w:hint="default" w:ascii="Times New Roman" w:hAnsi="Times New Roman" w:eastAsia="方正仿宋_GBK" w:cs="Times New Roman"/>
                <w:i w:val="0"/>
                <w:color w:val="auto"/>
                <w:kern w:val="0"/>
                <w:sz w:val="21"/>
                <w:szCs w:val="21"/>
                <w:highlight w:val="none"/>
                <w:u w:val="none"/>
                <w:lang w:val="en-US" w:eastAsia="zh-CN" w:bidi="ar"/>
              </w:rPr>
              <w:t>1.47</w:t>
            </w:r>
          </w:p>
        </w:tc>
        <w:tc>
          <w:tcPr>
            <w:tcW w:w="19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kern w:val="0"/>
                <w:sz w:val="21"/>
                <w:szCs w:val="21"/>
                <w:highlight w:val="none"/>
                <w:u w:val="none"/>
                <w:lang w:val="en-US" w:eastAsia="zh-CN" w:bidi="ar"/>
              </w:rPr>
            </w:pPr>
            <w:r>
              <w:rPr>
                <w:rFonts w:hint="default" w:ascii="Times New Roman" w:hAnsi="Times New Roman" w:eastAsia="方正仿宋_GBK" w:cs="Times New Roman"/>
                <w:i w:val="0"/>
                <w:color w:val="auto"/>
                <w:kern w:val="0"/>
                <w:sz w:val="21"/>
                <w:szCs w:val="21"/>
                <w:highlight w:val="none"/>
                <w:u w:val="none"/>
                <w:lang w:val="en-US" w:eastAsia="zh-CN" w:bidi="ar"/>
              </w:rPr>
              <w:t>1.43</w:t>
            </w:r>
          </w:p>
        </w:tc>
        <w:tc>
          <w:tcPr>
            <w:tcW w:w="18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kern w:val="0"/>
                <w:sz w:val="21"/>
                <w:szCs w:val="21"/>
                <w:highlight w:val="none"/>
                <w:u w:val="none"/>
                <w:lang w:val="en-US" w:eastAsia="zh-CN" w:bidi="ar"/>
              </w:rPr>
            </w:pPr>
            <w:r>
              <w:rPr>
                <w:rFonts w:hint="default" w:ascii="Times New Roman" w:hAnsi="Times New Roman" w:eastAsia="方正仿宋_GBK" w:cs="Times New Roman"/>
                <w:i w:val="0"/>
                <w:color w:val="auto"/>
                <w:kern w:val="0"/>
                <w:sz w:val="21"/>
                <w:szCs w:val="21"/>
                <w:highlight w:val="none"/>
                <w:u w:val="none"/>
                <w:lang w:val="en-US" w:eastAsia="zh-CN" w:bidi="ar"/>
              </w:rPr>
              <w:t>1.47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3" w:hRule="exact"/>
          <w:jc w:val="center"/>
        </w:trPr>
        <w:tc>
          <w:tcPr>
            <w:tcW w:w="11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sz w:val="21"/>
                <w:szCs w:val="21"/>
                <w:highlight w:val="none"/>
                <w:u w:val="none"/>
              </w:rPr>
            </w:pPr>
            <w:r>
              <w:rPr>
                <w:rFonts w:hint="default" w:ascii="Times New Roman" w:hAnsi="Times New Roman" w:eastAsia="方正仿宋_GBK" w:cs="Times New Roman"/>
                <w:i w:val="0"/>
                <w:color w:val="auto"/>
                <w:kern w:val="0"/>
                <w:sz w:val="21"/>
                <w:szCs w:val="21"/>
                <w:highlight w:val="none"/>
                <w:u w:val="none"/>
                <w:lang w:val="en-US" w:eastAsia="zh-CN" w:bidi="ar"/>
              </w:rPr>
              <w:t>沭阳</w:t>
            </w:r>
          </w:p>
        </w:tc>
        <w:tc>
          <w:tcPr>
            <w:tcW w:w="13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sz w:val="21"/>
                <w:szCs w:val="21"/>
                <w:highlight w:val="none"/>
                <w:u w:val="none"/>
                <w:lang w:val="en-US"/>
              </w:rPr>
            </w:pPr>
            <w:r>
              <w:rPr>
                <w:rFonts w:hint="default" w:ascii="Times New Roman" w:hAnsi="Times New Roman" w:eastAsia="方正仿宋_GBK" w:cs="Times New Roman"/>
                <w:i w:val="0"/>
                <w:color w:val="auto"/>
                <w:kern w:val="0"/>
                <w:sz w:val="21"/>
                <w:szCs w:val="21"/>
                <w:highlight w:val="none"/>
                <w:u w:val="none"/>
                <w:lang w:val="en-US" w:eastAsia="zh-CN" w:bidi="ar"/>
              </w:rPr>
              <w:t>10</w:t>
            </w:r>
          </w:p>
        </w:tc>
        <w:tc>
          <w:tcPr>
            <w:tcW w:w="16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sz w:val="21"/>
                <w:szCs w:val="21"/>
                <w:highlight w:val="none"/>
                <w:u w:val="none"/>
                <w:lang w:val="en-US"/>
              </w:rPr>
            </w:pPr>
            <w:r>
              <w:rPr>
                <w:rFonts w:hint="default" w:ascii="Times New Roman" w:hAnsi="Times New Roman" w:eastAsia="方正仿宋_GBK" w:cs="Times New Roman"/>
                <w:i w:val="0"/>
                <w:color w:val="auto"/>
                <w:kern w:val="0"/>
                <w:sz w:val="21"/>
                <w:szCs w:val="21"/>
                <w:highlight w:val="none"/>
                <w:u w:val="none"/>
                <w:lang w:val="en-US" w:eastAsia="zh-CN" w:bidi="ar"/>
              </w:rPr>
              <w:t>3.61</w:t>
            </w:r>
          </w:p>
        </w:tc>
        <w:tc>
          <w:tcPr>
            <w:tcW w:w="19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sz w:val="21"/>
                <w:szCs w:val="21"/>
                <w:highlight w:val="none"/>
                <w:u w:val="none"/>
                <w:lang w:val="en-US"/>
              </w:rPr>
            </w:pPr>
            <w:r>
              <w:rPr>
                <w:rFonts w:hint="default" w:ascii="Times New Roman" w:hAnsi="Times New Roman" w:eastAsia="方正仿宋_GBK" w:cs="Times New Roman"/>
                <w:i w:val="0"/>
                <w:color w:val="auto"/>
                <w:kern w:val="0"/>
                <w:sz w:val="21"/>
                <w:szCs w:val="21"/>
                <w:highlight w:val="none"/>
                <w:u w:val="none"/>
                <w:lang w:val="en-US" w:eastAsia="zh-CN" w:bidi="ar"/>
              </w:rPr>
              <w:t>3.46</w:t>
            </w:r>
          </w:p>
        </w:tc>
        <w:tc>
          <w:tcPr>
            <w:tcW w:w="18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sz w:val="21"/>
                <w:szCs w:val="21"/>
                <w:highlight w:val="none"/>
                <w:u w:val="none"/>
                <w:lang w:val="en-US"/>
              </w:rPr>
            </w:pPr>
            <w:r>
              <w:rPr>
                <w:rFonts w:hint="default" w:ascii="Times New Roman" w:hAnsi="Times New Roman" w:eastAsia="方正仿宋_GBK" w:cs="Times New Roman"/>
                <w:i w:val="0"/>
                <w:color w:val="auto"/>
                <w:kern w:val="0"/>
                <w:sz w:val="21"/>
                <w:szCs w:val="21"/>
                <w:highlight w:val="none"/>
                <w:u w:val="none"/>
                <w:lang w:val="en-US" w:eastAsia="zh-CN" w:bidi="ar"/>
              </w:rPr>
              <w:t>4.22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3" w:hRule="exact"/>
          <w:jc w:val="center"/>
        </w:trPr>
        <w:tc>
          <w:tcPr>
            <w:tcW w:w="11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sz w:val="21"/>
                <w:szCs w:val="21"/>
                <w:highlight w:val="none"/>
                <w:u w:val="none"/>
              </w:rPr>
            </w:pPr>
            <w:r>
              <w:rPr>
                <w:rFonts w:hint="default" w:ascii="Times New Roman" w:hAnsi="Times New Roman" w:eastAsia="方正仿宋_GBK" w:cs="Times New Roman"/>
                <w:i w:val="0"/>
                <w:color w:val="auto"/>
                <w:kern w:val="0"/>
                <w:sz w:val="21"/>
                <w:szCs w:val="21"/>
                <w:highlight w:val="none"/>
                <w:u w:val="none"/>
                <w:lang w:val="en-US" w:eastAsia="zh-CN" w:bidi="ar"/>
              </w:rPr>
              <w:t>泗阳</w:t>
            </w:r>
          </w:p>
        </w:tc>
        <w:tc>
          <w:tcPr>
            <w:tcW w:w="13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sz w:val="21"/>
                <w:szCs w:val="21"/>
                <w:highlight w:val="none"/>
                <w:u w:val="none"/>
                <w:lang w:val="en-US"/>
              </w:rPr>
            </w:pPr>
            <w:r>
              <w:rPr>
                <w:rFonts w:hint="default" w:ascii="Times New Roman" w:hAnsi="Times New Roman" w:eastAsia="方正仿宋_GBK" w:cs="Times New Roman"/>
                <w:i w:val="0"/>
                <w:color w:val="auto"/>
                <w:kern w:val="0"/>
                <w:sz w:val="21"/>
                <w:szCs w:val="21"/>
                <w:highlight w:val="none"/>
                <w:u w:val="none"/>
                <w:lang w:val="en-US" w:eastAsia="zh-CN" w:bidi="ar"/>
              </w:rPr>
              <w:t>1</w:t>
            </w:r>
            <w:r>
              <w:rPr>
                <w:rFonts w:hint="eastAsia" w:ascii="Times New Roman" w:hAnsi="Times New Roman" w:eastAsia="方正仿宋_GBK" w:cs="Times New Roman"/>
                <w:i w:val="0"/>
                <w:color w:val="auto"/>
                <w:kern w:val="0"/>
                <w:sz w:val="21"/>
                <w:szCs w:val="21"/>
                <w:highlight w:val="none"/>
                <w:u w:val="none"/>
                <w:lang w:val="en-US" w:eastAsia="zh-CN" w:bidi="ar"/>
              </w:rPr>
              <w:t>5</w:t>
            </w:r>
          </w:p>
        </w:tc>
        <w:tc>
          <w:tcPr>
            <w:tcW w:w="16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sz w:val="21"/>
                <w:szCs w:val="21"/>
                <w:highlight w:val="none"/>
                <w:u w:val="none"/>
                <w:lang w:val="en-US" w:eastAsia="zh-CN"/>
              </w:rPr>
            </w:pPr>
            <w:r>
              <w:rPr>
                <w:rFonts w:hint="eastAsia" w:ascii="Times New Roman" w:hAnsi="Times New Roman" w:eastAsia="方正仿宋_GBK" w:cs="Times New Roman"/>
                <w:i w:val="0"/>
                <w:color w:val="auto"/>
                <w:sz w:val="21"/>
                <w:szCs w:val="21"/>
                <w:highlight w:val="none"/>
                <w:u w:val="none"/>
                <w:lang w:val="en-US" w:eastAsia="zh-CN"/>
              </w:rPr>
              <w:t>2.56</w:t>
            </w:r>
          </w:p>
        </w:tc>
        <w:tc>
          <w:tcPr>
            <w:tcW w:w="19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sz w:val="21"/>
                <w:szCs w:val="21"/>
                <w:highlight w:val="none"/>
                <w:u w:val="none"/>
                <w:lang w:val="en-US" w:eastAsia="zh-CN"/>
              </w:rPr>
            </w:pPr>
            <w:r>
              <w:rPr>
                <w:rFonts w:hint="eastAsia" w:ascii="Times New Roman" w:hAnsi="Times New Roman" w:eastAsia="方正仿宋_GBK" w:cs="Times New Roman"/>
                <w:i w:val="0"/>
                <w:color w:val="auto"/>
                <w:sz w:val="21"/>
                <w:szCs w:val="21"/>
                <w:highlight w:val="none"/>
                <w:u w:val="none"/>
                <w:lang w:val="en-US" w:eastAsia="zh-CN"/>
              </w:rPr>
              <w:t>2.31</w:t>
            </w:r>
          </w:p>
        </w:tc>
        <w:tc>
          <w:tcPr>
            <w:tcW w:w="18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sz w:val="21"/>
                <w:szCs w:val="21"/>
                <w:highlight w:val="none"/>
                <w:u w:val="none"/>
                <w:lang w:val="en-US" w:eastAsia="zh-CN"/>
              </w:rPr>
            </w:pPr>
            <w:r>
              <w:rPr>
                <w:rFonts w:hint="eastAsia" w:ascii="Times New Roman" w:hAnsi="Times New Roman" w:eastAsia="方正仿宋_GBK" w:cs="Times New Roman"/>
                <w:i w:val="0"/>
                <w:color w:val="auto"/>
                <w:sz w:val="21"/>
                <w:szCs w:val="21"/>
                <w:highlight w:val="none"/>
                <w:u w:val="none"/>
                <w:lang w:val="en-US" w:eastAsia="zh-CN"/>
              </w:rPr>
              <w:t>3.14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3" w:hRule="exact"/>
          <w:jc w:val="center"/>
        </w:trPr>
        <w:tc>
          <w:tcPr>
            <w:tcW w:w="11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sz w:val="21"/>
                <w:szCs w:val="21"/>
                <w:highlight w:val="none"/>
                <w:u w:val="none"/>
              </w:rPr>
            </w:pPr>
            <w:r>
              <w:rPr>
                <w:rFonts w:hint="default" w:ascii="Times New Roman" w:hAnsi="Times New Roman" w:eastAsia="方正仿宋_GBK" w:cs="Times New Roman"/>
                <w:i w:val="0"/>
                <w:color w:val="auto"/>
                <w:kern w:val="0"/>
                <w:sz w:val="21"/>
                <w:szCs w:val="21"/>
                <w:highlight w:val="none"/>
                <w:u w:val="none"/>
                <w:lang w:val="en-US" w:eastAsia="zh-CN" w:bidi="ar"/>
              </w:rPr>
              <w:t>泗洪</w:t>
            </w:r>
          </w:p>
        </w:tc>
        <w:tc>
          <w:tcPr>
            <w:tcW w:w="13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sz w:val="21"/>
                <w:szCs w:val="21"/>
                <w:highlight w:val="none"/>
                <w:u w:val="none"/>
              </w:rPr>
            </w:pPr>
            <w:r>
              <w:rPr>
                <w:rFonts w:hint="default" w:ascii="Times New Roman" w:hAnsi="Times New Roman" w:eastAsia="方正仿宋_GBK" w:cs="Times New Roman"/>
                <w:i w:val="0"/>
                <w:color w:val="auto"/>
                <w:kern w:val="0"/>
                <w:sz w:val="21"/>
                <w:szCs w:val="21"/>
                <w:highlight w:val="none"/>
                <w:u w:val="none"/>
                <w:lang w:val="en-US" w:eastAsia="zh-CN" w:bidi="ar"/>
              </w:rPr>
              <w:t>3</w:t>
            </w:r>
          </w:p>
        </w:tc>
        <w:tc>
          <w:tcPr>
            <w:tcW w:w="16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sz w:val="21"/>
                <w:szCs w:val="21"/>
                <w:highlight w:val="none"/>
                <w:u w:val="none"/>
                <w:lang w:val="en-US"/>
              </w:rPr>
            </w:pPr>
            <w:r>
              <w:rPr>
                <w:rFonts w:hint="default" w:ascii="Times New Roman" w:hAnsi="Times New Roman" w:eastAsia="方正仿宋_GBK" w:cs="Times New Roman"/>
                <w:i w:val="0"/>
                <w:color w:val="auto"/>
                <w:kern w:val="0"/>
                <w:sz w:val="21"/>
                <w:szCs w:val="21"/>
                <w:highlight w:val="none"/>
                <w:u w:val="none"/>
                <w:lang w:val="en-US" w:eastAsia="zh-CN" w:bidi="ar"/>
              </w:rPr>
              <w:t>0.86</w:t>
            </w:r>
          </w:p>
        </w:tc>
        <w:tc>
          <w:tcPr>
            <w:tcW w:w="19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方正仿宋_GBK" w:cs="Times New Roman"/>
                <w:i w:val="0"/>
                <w:color w:val="auto"/>
                <w:sz w:val="21"/>
                <w:szCs w:val="21"/>
                <w:highlight w:val="none"/>
                <w:u w:val="none"/>
              </w:rPr>
            </w:pPr>
            <w:r>
              <w:rPr>
                <w:rFonts w:hint="default" w:ascii="Times New Roman" w:hAnsi="Times New Roman" w:eastAsia="方正仿宋_GBK" w:cs="Times New Roman"/>
                <w:i w:val="0"/>
                <w:color w:val="auto"/>
                <w:kern w:val="0"/>
                <w:sz w:val="21"/>
                <w:szCs w:val="21"/>
                <w:highlight w:val="none"/>
                <w:u w:val="none"/>
                <w:lang w:val="en-US" w:eastAsia="zh-CN" w:bidi="ar"/>
              </w:rPr>
              <w:t>0.86</w:t>
            </w:r>
          </w:p>
        </w:tc>
        <w:tc>
          <w:tcPr>
            <w:tcW w:w="18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方正仿宋_GBK" w:cs="Times New Roman"/>
                <w:i w:val="0"/>
                <w:color w:val="auto"/>
                <w:sz w:val="21"/>
                <w:szCs w:val="21"/>
                <w:highlight w:val="none"/>
                <w:u w:val="none"/>
              </w:rPr>
            </w:pPr>
            <w:r>
              <w:rPr>
                <w:rFonts w:hint="default" w:ascii="Times New Roman" w:hAnsi="Times New Roman" w:eastAsia="方正仿宋_GBK" w:cs="Times New Roman"/>
                <w:i w:val="0"/>
                <w:color w:val="auto"/>
                <w:kern w:val="0"/>
                <w:sz w:val="21"/>
                <w:szCs w:val="21"/>
                <w:highlight w:val="none"/>
                <w:u w:val="none"/>
                <w:lang w:val="en-US" w:eastAsia="zh-CN" w:bidi="ar"/>
              </w:rPr>
              <w:t>0.86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3" w:hRule="exact"/>
          <w:jc w:val="center"/>
        </w:trPr>
        <w:tc>
          <w:tcPr>
            <w:tcW w:w="11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sz w:val="21"/>
                <w:szCs w:val="21"/>
                <w:highlight w:val="none"/>
                <w:u w:val="none"/>
                <w:lang w:val="en-US" w:eastAsia="zh-CN"/>
              </w:rPr>
            </w:pPr>
            <w:r>
              <w:rPr>
                <w:rFonts w:hint="default" w:ascii="Times New Roman" w:hAnsi="Times New Roman" w:eastAsia="方正仿宋_GBK" w:cs="Times New Roman"/>
                <w:i w:val="0"/>
                <w:color w:val="auto"/>
                <w:sz w:val="21"/>
                <w:szCs w:val="21"/>
                <w:highlight w:val="none"/>
                <w:u w:val="none"/>
                <w:lang w:val="en-US" w:eastAsia="zh-CN"/>
              </w:rPr>
              <w:t>合计</w:t>
            </w:r>
          </w:p>
        </w:tc>
        <w:tc>
          <w:tcPr>
            <w:tcW w:w="13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sz w:val="21"/>
                <w:szCs w:val="21"/>
                <w:highlight w:val="none"/>
                <w:u w:val="none"/>
                <w:lang w:val="en-US"/>
              </w:rPr>
            </w:pPr>
            <w:r>
              <w:rPr>
                <w:rFonts w:hint="eastAsia" w:ascii="Times New Roman" w:hAnsi="Times New Roman" w:eastAsia="方正仿宋_GBK" w:cs="Times New Roman"/>
                <w:i w:val="0"/>
                <w:color w:val="auto"/>
                <w:kern w:val="0"/>
                <w:sz w:val="21"/>
                <w:szCs w:val="21"/>
                <w:highlight w:val="none"/>
                <w:u w:val="none"/>
                <w:lang w:val="en-US" w:eastAsia="zh-CN" w:bidi="ar"/>
              </w:rPr>
              <w:t>38</w:t>
            </w:r>
          </w:p>
        </w:tc>
        <w:tc>
          <w:tcPr>
            <w:tcW w:w="16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sz w:val="21"/>
                <w:szCs w:val="21"/>
                <w:highlight w:val="none"/>
                <w:u w:val="none"/>
                <w:lang w:val="en-US" w:eastAsia="zh-CN"/>
              </w:rPr>
            </w:pPr>
            <w:r>
              <w:rPr>
                <w:rFonts w:hint="eastAsia" w:ascii="Times New Roman" w:hAnsi="Times New Roman" w:eastAsia="方正仿宋_GBK" w:cs="Times New Roman"/>
                <w:i w:val="0"/>
                <w:color w:val="auto"/>
                <w:sz w:val="21"/>
                <w:szCs w:val="21"/>
                <w:highlight w:val="none"/>
                <w:u w:val="none"/>
                <w:lang w:val="en-US" w:eastAsia="zh-CN"/>
              </w:rPr>
              <w:t>14.81</w:t>
            </w:r>
          </w:p>
        </w:tc>
        <w:tc>
          <w:tcPr>
            <w:tcW w:w="19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方正仿宋_GBK" w:cs="Times New Roman"/>
                <w:i w:val="0"/>
                <w:color w:val="auto"/>
                <w:sz w:val="21"/>
                <w:szCs w:val="21"/>
                <w:highlight w:val="none"/>
                <w:u w:val="none"/>
                <w:lang w:val="en-US" w:eastAsia="zh"/>
              </w:rPr>
            </w:pPr>
            <w:r>
              <w:rPr>
                <w:rFonts w:hint="eastAsia" w:ascii="Times New Roman" w:hAnsi="Times New Roman" w:eastAsia="方正仿宋_GBK" w:cs="Times New Roman"/>
                <w:i w:val="0"/>
                <w:color w:val="auto"/>
                <w:sz w:val="21"/>
                <w:szCs w:val="21"/>
                <w:highlight w:val="none"/>
                <w:u w:val="none"/>
                <w:lang w:val="en-US" w:eastAsia="zh"/>
              </w:rPr>
              <w:t>13.50</w:t>
            </w:r>
          </w:p>
        </w:tc>
        <w:tc>
          <w:tcPr>
            <w:tcW w:w="18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方正仿宋_GBK" w:cs="Times New Roman"/>
                <w:i w:val="0"/>
                <w:color w:val="auto"/>
                <w:sz w:val="21"/>
                <w:szCs w:val="21"/>
                <w:highlight w:val="none"/>
                <w:u w:val="none"/>
                <w:lang w:val="en-US" w:eastAsia="zh-CN"/>
              </w:rPr>
            </w:pPr>
            <w:r>
              <w:rPr>
                <w:rFonts w:hint="eastAsia" w:ascii="Times New Roman" w:hAnsi="Times New Roman" w:eastAsia="方正仿宋_GBK" w:cs="Times New Roman"/>
                <w:i w:val="0"/>
                <w:color w:val="auto"/>
                <w:sz w:val="21"/>
                <w:szCs w:val="21"/>
                <w:highlight w:val="none"/>
                <w:u w:val="none"/>
                <w:lang w:val="en-US" w:eastAsia="zh-CN"/>
              </w:rPr>
              <w:t>12.41</w:t>
            </w:r>
          </w:p>
        </w:tc>
      </w:tr>
    </w:tbl>
    <w:p>
      <w:pPr>
        <w:ind w:firstLine="640"/>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2.负荷普降措施</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经过深入研究宿迁地区用户生产工艺流程和非主要生产负荷特性，分行业分用户类型制定科学合理的负荷普降比例，引导用户按照目标压降比例自主选择负荷下降方式及参与设备，保障企业主要生产不受影响。按照责任公平共担的原则，拓展所有用户负荷普降的管理模式，鼓励在工业园区率先推广实施。全市出现小</w:t>
      </w:r>
      <w:r>
        <w:rPr>
          <w:rFonts w:hint="default" w:ascii="Times New Roman" w:hAnsi="Times New Roman" w:eastAsia="方正仿宋_GBK" w:cs="Times New Roman"/>
          <w:color w:val="auto"/>
          <w:sz w:val="32"/>
          <w:szCs w:val="32"/>
          <w:highlight w:val="none"/>
          <w:lang w:eastAsia="zh-CN"/>
        </w:rPr>
        <w:t>电力缺口</w:t>
      </w:r>
      <w:r>
        <w:rPr>
          <w:rFonts w:hint="default" w:ascii="Times New Roman" w:hAnsi="Times New Roman" w:eastAsia="方正仿宋_GBK" w:cs="Times New Roman"/>
          <w:color w:val="auto"/>
          <w:sz w:val="32"/>
          <w:szCs w:val="32"/>
          <w:highlight w:val="none"/>
        </w:rPr>
        <w:t>时采取工业园区内客户本措施，当出现较大</w:t>
      </w:r>
      <w:r>
        <w:rPr>
          <w:rFonts w:hint="default" w:ascii="Times New Roman" w:hAnsi="Times New Roman" w:eastAsia="方正仿宋_GBK" w:cs="Times New Roman"/>
          <w:color w:val="auto"/>
          <w:sz w:val="32"/>
          <w:szCs w:val="32"/>
          <w:highlight w:val="none"/>
          <w:lang w:eastAsia="zh-CN"/>
        </w:rPr>
        <w:t>电力缺口</w:t>
      </w:r>
      <w:r>
        <w:rPr>
          <w:rFonts w:hint="default" w:ascii="Times New Roman" w:hAnsi="Times New Roman" w:eastAsia="方正仿宋_GBK" w:cs="Times New Roman"/>
          <w:color w:val="auto"/>
          <w:sz w:val="32"/>
          <w:szCs w:val="32"/>
          <w:highlight w:val="none"/>
        </w:rPr>
        <w:t>，取消工业园区的普降措施，本措施的相关客户采取其他负荷管理措施。</w:t>
      </w:r>
    </w:p>
    <w:p>
      <w:pPr>
        <w:pStyle w:val="22"/>
        <w:pageBreakBefore w:val="0"/>
        <w:kinsoku/>
        <w:wordWrap/>
        <w:overflowPunct/>
        <w:topLinePunct w:val="0"/>
        <w:autoSpaceDE/>
        <w:autoSpaceDN/>
        <w:bidi w:val="0"/>
        <w:adjustRightInd/>
        <w:snapToGrid/>
        <w:spacing w:before="0" w:beforeLines="0" w:after="156"/>
        <w:ind w:firstLine="0" w:firstLineChars="0"/>
        <w:rPr>
          <w:rFonts w:hint="default" w:ascii="Times New Roman" w:hAnsi="Times New Roman" w:eastAsia="黑体" w:cs="Times New Roman"/>
          <w:b w:val="0"/>
          <w:bCs/>
          <w:color w:val="auto"/>
          <w:sz w:val="21"/>
          <w:szCs w:val="21"/>
          <w:highlight w:val="none"/>
        </w:rPr>
      </w:pPr>
      <w:bookmarkStart w:id="97" w:name="_Toc1944"/>
      <w:r>
        <w:rPr>
          <w:rFonts w:hint="default" w:ascii="Times New Roman" w:hAnsi="Times New Roman" w:eastAsia="黑体" w:cs="Times New Roman"/>
          <w:b w:val="0"/>
          <w:bCs/>
          <w:color w:val="auto"/>
          <w:sz w:val="21"/>
          <w:szCs w:val="21"/>
          <w:highlight w:val="none"/>
        </w:rPr>
        <w:t>表1</w:t>
      </w:r>
      <w:r>
        <w:rPr>
          <w:rFonts w:hint="default" w:ascii="Times New Roman" w:hAnsi="Times New Roman" w:eastAsia="黑体" w:cs="Times New Roman"/>
          <w:b w:val="0"/>
          <w:bCs/>
          <w:color w:val="auto"/>
          <w:sz w:val="21"/>
          <w:szCs w:val="21"/>
          <w:highlight w:val="none"/>
          <w:lang w:val="en-US" w:eastAsia="zh-CN"/>
        </w:rPr>
        <w:t>2</w:t>
      </w:r>
      <w:r>
        <w:rPr>
          <w:rFonts w:hint="default" w:ascii="Times New Roman" w:hAnsi="Times New Roman" w:eastAsia="黑体" w:cs="Times New Roman"/>
          <w:b w:val="0"/>
          <w:bCs/>
          <w:color w:val="auto"/>
          <w:sz w:val="21"/>
          <w:szCs w:val="21"/>
          <w:highlight w:val="none"/>
        </w:rPr>
        <w:t>：负荷普降措施统计表</w:t>
      </w:r>
      <w:bookmarkEnd w:id="97"/>
    </w:p>
    <w:p>
      <w:pPr>
        <w:pStyle w:val="2"/>
        <w:ind w:firstLine="482"/>
        <w:jc w:val="center"/>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b/>
          <w:bCs/>
          <w:color w:val="auto"/>
          <w:sz w:val="21"/>
          <w:szCs w:val="21"/>
          <w:highlight w:val="none"/>
          <w:lang w:val="en-US" w:eastAsia="zh-CN"/>
        </w:rPr>
        <w:t xml:space="preserve">                                              </w:t>
      </w:r>
      <w:r>
        <w:rPr>
          <w:rFonts w:hint="default" w:ascii="Times New Roman" w:hAnsi="Times New Roman" w:eastAsia="方正仿宋_GBK" w:cs="Times New Roman"/>
          <w:b/>
          <w:bCs/>
          <w:color w:val="auto"/>
          <w:sz w:val="21"/>
          <w:szCs w:val="21"/>
          <w:highlight w:val="none"/>
        </w:rPr>
        <w:t>单位：户、万千瓦</w:t>
      </w:r>
    </w:p>
    <w:tbl>
      <w:tblPr>
        <w:tblStyle w:val="13"/>
        <w:tblW w:w="8197" w:type="dxa"/>
        <w:tblInd w:w="0" w:type="dxa"/>
        <w:tblLayout w:type="fixed"/>
        <w:tblCellMar>
          <w:top w:w="0" w:type="dxa"/>
          <w:left w:w="0" w:type="dxa"/>
          <w:bottom w:w="0" w:type="dxa"/>
          <w:right w:w="0" w:type="dxa"/>
        </w:tblCellMar>
      </w:tblPr>
      <w:tblGrid>
        <w:gridCol w:w="767"/>
        <w:gridCol w:w="37"/>
        <w:gridCol w:w="1297"/>
        <w:gridCol w:w="1832"/>
        <w:gridCol w:w="1553"/>
        <w:gridCol w:w="1158"/>
        <w:gridCol w:w="1553"/>
      </w:tblGrid>
      <w:tr>
        <w:tblPrEx>
          <w:tblLayout w:type="fixed"/>
          <w:tblCellMar>
            <w:top w:w="0" w:type="dxa"/>
            <w:left w:w="0" w:type="dxa"/>
            <w:bottom w:w="0" w:type="dxa"/>
            <w:right w:w="0" w:type="dxa"/>
          </w:tblCellMar>
        </w:tblPrEx>
        <w:trPr>
          <w:trHeight w:val="645" w:hRule="atLeast"/>
          <w:tblHeader/>
        </w:trPr>
        <w:tc>
          <w:tcPr>
            <w:tcW w:w="2101"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keepNext w:val="0"/>
              <w:keepLines w:val="0"/>
              <w:pageBreakBefore w:val="0"/>
              <w:widowControl w:val="0"/>
              <w:shd w:val="clear"/>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县区</w:t>
            </w:r>
          </w:p>
        </w:tc>
        <w:tc>
          <w:tcPr>
            <w:tcW w:w="183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keepNext w:val="0"/>
              <w:keepLines w:val="0"/>
              <w:pageBreakBefore w:val="0"/>
              <w:widowControl w:val="0"/>
              <w:shd w:val="clear"/>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普降试点工业园区</w:t>
            </w:r>
          </w:p>
        </w:tc>
        <w:tc>
          <w:tcPr>
            <w:tcW w:w="15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keepNext w:val="0"/>
              <w:keepLines w:val="0"/>
              <w:pageBreakBefore w:val="0"/>
              <w:widowControl w:val="0"/>
              <w:shd w:val="clear"/>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产业类型</w:t>
            </w:r>
          </w:p>
        </w:tc>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keepNext w:val="0"/>
              <w:keepLines w:val="0"/>
              <w:pageBreakBefore w:val="0"/>
              <w:widowControl w:val="0"/>
              <w:shd w:val="clear"/>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户数</w:t>
            </w:r>
          </w:p>
        </w:tc>
        <w:tc>
          <w:tcPr>
            <w:tcW w:w="15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keepNext w:val="0"/>
              <w:keepLines w:val="0"/>
              <w:pageBreakBefore w:val="0"/>
              <w:widowControl w:val="0"/>
              <w:shd w:val="clear"/>
              <w:kinsoku/>
              <w:wordWrap/>
              <w:overflowPunct/>
              <w:topLinePunct w:val="0"/>
              <w:autoSpaceDE/>
              <w:autoSpaceDN/>
              <w:bidi w:val="0"/>
              <w:adjustRightInd/>
              <w:snapToGrid/>
              <w:spacing w:line="260" w:lineRule="exact"/>
              <w:textAlignment w:val="auto"/>
              <w:rPr>
                <w:rFonts w:hint="eastAsia" w:ascii="Times New Roman" w:hAnsi="Times New Roman" w:eastAsia="方正仿宋_GBK" w:cs="Times New Roman"/>
                <w:b/>
                <w:bCs/>
                <w:color w:val="auto"/>
                <w:sz w:val="21"/>
                <w:szCs w:val="21"/>
                <w:highlight w:val="none"/>
                <w:lang w:eastAsia="zh-CN"/>
              </w:rPr>
            </w:pPr>
            <w:r>
              <w:rPr>
                <w:rFonts w:hint="eastAsia" w:ascii="Times New Roman" w:hAnsi="Times New Roman" w:eastAsia="方正仿宋_GBK" w:cs="Times New Roman"/>
                <w:b/>
                <w:bCs/>
                <w:color w:val="auto"/>
                <w:sz w:val="21"/>
                <w:szCs w:val="21"/>
                <w:highlight w:val="none"/>
                <w:lang w:eastAsia="zh-CN"/>
              </w:rPr>
              <w:t>最大可调负荷</w:t>
            </w:r>
          </w:p>
          <w:p>
            <w:pPr>
              <w:pStyle w:val="23"/>
              <w:keepNext w:val="0"/>
              <w:keepLines w:val="0"/>
              <w:pageBreakBefore w:val="0"/>
              <w:widowControl w:val="0"/>
              <w:shd w:val="clear"/>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（取</w:t>
            </w:r>
            <w:r>
              <w:rPr>
                <w:rFonts w:hint="eastAsia" w:ascii="Times New Roman" w:hAnsi="Times New Roman" w:eastAsia="方正仿宋_GBK" w:cs="Times New Roman"/>
                <w:b/>
                <w:bCs/>
                <w:color w:val="auto"/>
                <w:sz w:val="21"/>
                <w:szCs w:val="21"/>
                <w:highlight w:val="none"/>
                <w:lang w:eastAsia="zh"/>
              </w:rPr>
              <w:t>腰</w:t>
            </w:r>
            <w:r>
              <w:rPr>
                <w:rFonts w:hint="default" w:ascii="Times New Roman" w:hAnsi="Times New Roman" w:eastAsia="方正仿宋_GBK" w:cs="Times New Roman"/>
                <w:b/>
                <w:bCs/>
                <w:color w:val="auto"/>
                <w:sz w:val="21"/>
                <w:szCs w:val="21"/>
                <w:highlight w:val="none"/>
              </w:rPr>
              <w:t>荷）</w:t>
            </w:r>
          </w:p>
        </w:tc>
      </w:tr>
      <w:tr>
        <w:tblPrEx>
          <w:tblLayout w:type="fixed"/>
          <w:tblCellMar>
            <w:top w:w="0" w:type="dxa"/>
            <w:left w:w="0" w:type="dxa"/>
            <w:bottom w:w="0" w:type="dxa"/>
            <w:right w:w="0" w:type="dxa"/>
          </w:tblCellMar>
        </w:tblPrEx>
        <w:trPr>
          <w:trHeight w:val="632" w:hRule="atLeast"/>
        </w:trPr>
        <w:tc>
          <w:tcPr>
            <w:tcW w:w="2101"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keepNext w:val="0"/>
              <w:keepLines w:val="0"/>
              <w:pageBreakBefore w:val="0"/>
              <w:widowControl w:val="0"/>
              <w:shd w:val="clear"/>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bCs/>
                <w:color w:val="auto"/>
                <w:sz w:val="21"/>
                <w:szCs w:val="21"/>
                <w:highlight w:val="none"/>
                <w:lang w:val="en-US" w:eastAsia="zh-CN"/>
              </w:rPr>
            </w:pPr>
            <w:r>
              <w:rPr>
                <w:rFonts w:hint="default" w:ascii="Times New Roman" w:hAnsi="Times New Roman" w:eastAsia="方正仿宋_GBK" w:cs="Times New Roman"/>
                <w:b/>
                <w:bCs/>
                <w:color w:val="auto"/>
                <w:sz w:val="21"/>
                <w:szCs w:val="21"/>
                <w:highlight w:val="none"/>
                <w:lang w:val="en-US" w:eastAsia="zh-CN"/>
              </w:rPr>
              <w:t>宿豫</w:t>
            </w:r>
          </w:p>
        </w:tc>
        <w:tc>
          <w:tcPr>
            <w:tcW w:w="183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keepNext w:val="0"/>
              <w:keepLines w:val="0"/>
              <w:pageBreakBefore w:val="0"/>
              <w:widowControl w:val="0"/>
              <w:shd w:val="clear"/>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滨湖新区</w:t>
            </w:r>
          </w:p>
        </w:tc>
        <w:tc>
          <w:tcPr>
            <w:tcW w:w="15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keepNext w:val="0"/>
              <w:keepLines w:val="0"/>
              <w:pageBreakBefore w:val="0"/>
              <w:widowControl w:val="0"/>
              <w:shd w:val="clear"/>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设备制造业、</w:t>
            </w:r>
            <w:r>
              <w:rPr>
                <w:rFonts w:hint="default" w:ascii="Times New Roman" w:hAnsi="Times New Roman" w:eastAsia="方正仿宋_GBK" w:cs="Times New Roman"/>
                <w:color w:val="auto"/>
                <w:sz w:val="21"/>
                <w:szCs w:val="21"/>
                <w:highlight w:val="none"/>
                <w:lang w:val="en-US" w:eastAsia="zh-CN"/>
              </w:rPr>
              <w:t>光伏</w:t>
            </w:r>
            <w:r>
              <w:rPr>
                <w:rFonts w:hint="default" w:ascii="Times New Roman" w:hAnsi="Times New Roman" w:eastAsia="方正仿宋_GBK" w:cs="Times New Roman"/>
                <w:color w:val="auto"/>
                <w:sz w:val="21"/>
                <w:szCs w:val="21"/>
                <w:highlight w:val="none"/>
              </w:rPr>
              <w:t>制造业</w:t>
            </w:r>
          </w:p>
        </w:tc>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keepNext w:val="0"/>
              <w:keepLines w:val="0"/>
              <w:pageBreakBefore w:val="0"/>
              <w:widowControl w:val="0"/>
              <w:shd w:val="clear"/>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5</w:t>
            </w:r>
          </w:p>
        </w:tc>
        <w:tc>
          <w:tcPr>
            <w:tcW w:w="15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keepNext w:val="0"/>
              <w:keepLines w:val="0"/>
              <w:pageBreakBefore w:val="0"/>
              <w:widowControl w:val="0"/>
              <w:shd w:val="clear"/>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2.75</w:t>
            </w:r>
          </w:p>
        </w:tc>
      </w:tr>
      <w:tr>
        <w:tblPrEx>
          <w:tblLayout w:type="fixed"/>
          <w:tblCellMar>
            <w:top w:w="0" w:type="dxa"/>
            <w:left w:w="0" w:type="dxa"/>
            <w:bottom w:w="0" w:type="dxa"/>
            <w:right w:w="0" w:type="dxa"/>
          </w:tblCellMar>
        </w:tblPrEx>
        <w:trPr>
          <w:trHeight w:val="632" w:hRule="atLeast"/>
        </w:trPr>
        <w:tc>
          <w:tcPr>
            <w:tcW w:w="2101"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keepNext w:val="0"/>
              <w:keepLines w:val="0"/>
              <w:pageBreakBefore w:val="0"/>
              <w:widowControl w:val="0"/>
              <w:shd w:val="clear"/>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b/>
                <w:bCs/>
                <w:color w:val="auto"/>
                <w:sz w:val="21"/>
                <w:szCs w:val="21"/>
                <w:highlight w:val="none"/>
                <w:lang w:val="en-US" w:eastAsia="zh-CN"/>
              </w:rPr>
              <w:t>宿城</w:t>
            </w:r>
          </w:p>
        </w:tc>
        <w:tc>
          <w:tcPr>
            <w:tcW w:w="183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keepNext w:val="0"/>
              <w:keepLines w:val="0"/>
              <w:pageBreakBefore w:val="0"/>
              <w:widowControl w:val="0"/>
              <w:shd w:val="clear"/>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lang w:val="en-US" w:eastAsia="zh-CN"/>
              </w:rPr>
              <w:t>国开区、</w:t>
            </w:r>
            <w:r>
              <w:rPr>
                <w:rFonts w:hint="default" w:ascii="Times New Roman" w:hAnsi="Times New Roman" w:eastAsia="方正仿宋_GBK" w:cs="Times New Roman"/>
                <w:color w:val="auto"/>
                <w:sz w:val="21"/>
                <w:szCs w:val="21"/>
                <w:highlight w:val="none"/>
              </w:rPr>
              <w:t>苏宿工业园区、</w:t>
            </w:r>
            <w:r>
              <w:rPr>
                <w:rFonts w:hint="default" w:ascii="Times New Roman" w:hAnsi="Times New Roman" w:eastAsia="方正仿宋_GBK" w:cs="Times New Roman"/>
                <w:color w:val="auto"/>
                <w:sz w:val="21"/>
                <w:szCs w:val="21"/>
                <w:highlight w:val="none"/>
                <w:lang w:eastAsia="zh-CN"/>
              </w:rPr>
              <w:t>洋河新区</w:t>
            </w:r>
          </w:p>
        </w:tc>
        <w:tc>
          <w:tcPr>
            <w:tcW w:w="15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keepNext w:val="0"/>
              <w:keepLines w:val="0"/>
              <w:pageBreakBefore w:val="0"/>
              <w:widowControl w:val="0"/>
              <w:shd w:val="clear"/>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设备制造业、</w:t>
            </w:r>
            <w:r>
              <w:rPr>
                <w:rFonts w:hint="default" w:ascii="Times New Roman" w:hAnsi="Times New Roman" w:eastAsia="方正仿宋_GBK" w:cs="Times New Roman"/>
                <w:color w:val="auto"/>
                <w:sz w:val="21"/>
                <w:szCs w:val="21"/>
                <w:highlight w:val="none"/>
                <w:lang w:val="en-US" w:eastAsia="zh-CN"/>
              </w:rPr>
              <w:t>光伏</w:t>
            </w:r>
            <w:r>
              <w:rPr>
                <w:rFonts w:hint="default" w:ascii="Times New Roman" w:hAnsi="Times New Roman" w:eastAsia="方正仿宋_GBK" w:cs="Times New Roman"/>
                <w:color w:val="auto"/>
                <w:sz w:val="21"/>
                <w:szCs w:val="21"/>
                <w:highlight w:val="none"/>
              </w:rPr>
              <w:t>制造业</w:t>
            </w:r>
          </w:p>
        </w:tc>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keepNext w:val="0"/>
              <w:keepLines w:val="0"/>
              <w:pageBreakBefore w:val="0"/>
              <w:widowControl w:val="0"/>
              <w:shd w:val="clear"/>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color w:val="auto"/>
                <w:sz w:val="21"/>
                <w:szCs w:val="21"/>
                <w:highlight w:val="none"/>
                <w:lang w:eastAsia="zh-CN"/>
              </w:rPr>
            </w:pPr>
            <w:r>
              <w:rPr>
                <w:rFonts w:hint="default" w:ascii="Times New Roman" w:hAnsi="Times New Roman" w:eastAsia="方正仿宋_GBK" w:cs="Times New Roman"/>
                <w:color w:val="auto"/>
                <w:sz w:val="21"/>
                <w:szCs w:val="21"/>
                <w:highlight w:val="none"/>
              </w:rPr>
              <w:t>5</w:t>
            </w:r>
            <w:r>
              <w:rPr>
                <w:rFonts w:hint="default" w:ascii="Times New Roman" w:hAnsi="Times New Roman" w:eastAsia="方正仿宋_GBK" w:cs="Times New Roman"/>
                <w:color w:val="auto"/>
                <w:sz w:val="21"/>
                <w:szCs w:val="21"/>
                <w:highlight w:val="none"/>
                <w:lang w:val="en-US" w:eastAsia="zh-CN"/>
              </w:rPr>
              <w:t>4</w:t>
            </w:r>
          </w:p>
        </w:tc>
        <w:tc>
          <w:tcPr>
            <w:tcW w:w="15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keepNext w:val="0"/>
              <w:keepLines w:val="0"/>
              <w:pageBreakBefore w:val="0"/>
              <w:widowControl w:val="0"/>
              <w:shd w:val="clear"/>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1</w:t>
            </w:r>
            <w:r>
              <w:rPr>
                <w:rFonts w:hint="default" w:ascii="Times New Roman" w:hAnsi="Times New Roman" w:eastAsia="方正仿宋_GBK" w:cs="Times New Roman"/>
                <w:color w:val="auto"/>
                <w:sz w:val="21"/>
                <w:szCs w:val="21"/>
                <w:highlight w:val="none"/>
                <w:lang w:val="en-US" w:eastAsia="zh-CN"/>
              </w:rPr>
              <w:t>5.6</w:t>
            </w:r>
            <w:r>
              <w:rPr>
                <w:rFonts w:hint="eastAsia" w:ascii="Times New Roman" w:hAnsi="Times New Roman" w:eastAsia="方正仿宋_GBK" w:cs="Times New Roman"/>
                <w:color w:val="auto"/>
                <w:sz w:val="21"/>
                <w:szCs w:val="21"/>
                <w:highlight w:val="none"/>
                <w:lang w:val="en-US" w:eastAsia="zh-CN"/>
              </w:rPr>
              <w:t>8</w:t>
            </w:r>
          </w:p>
        </w:tc>
      </w:tr>
      <w:tr>
        <w:tblPrEx>
          <w:tblLayout w:type="fixed"/>
          <w:tblCellMar>
            <w:top w:w="0" w:type="dxa"/>
            <w:left w:w="0" w:type="dxa"/>
            <w:bottom w:w="0" w:type="dxa"/>
            <w:right w:w="0" w:type="dxa"/>
          </w:tblCellMar>
        </w:tblPrEx>
        <w:trPr>
          <w:trHeight w:val="632" w:hRule="atLeast"/>
        </w:trPr>
        <w:tc>
          <w:tcPr>
            <w:tcW w:w="7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keepNext w:val="0"/>
              <w:keepLines w:val="0"/>
              <w:pageBreakBefore w:val="0"/>
              <w:widowControl w:val="0"/>
              <w:shd w:val="clear"/>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其中</w:t>
            </w:r>
          </w:p>
        </w:tc>
        <w:tc>
          <w:tcPr>
            <w:tcW w:w="1334" w:type="dxa"/>
            <w:gridSpan w:val="2"/>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shd w:val="clear"/>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运河港及港恒增量配电网</w:t>
            </w:r>
          </w:p>
        </w:tc>
        <w:tc>
          <w:tcPr>
            <w:tcW w:w="183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keepNext w:val="0"/>
              <w:keepLines w:val="0"/>
              <w:pageBreakBefore w:val="0"/>
              <w:widowControl w:val="0"/>
              <w:shd w:val="clear"/>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恒力产业园</w:t>
            </w:r>
          </w:p>
        </w:tc>
        <w:tc>
          <w:tcPr>
            <w:tcW w:w="15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keepNext w:val="0"/>
              <w:keepLines w:val="0"/>
              <w:pageBreakBefore w:val="0"/>
              <w:widowControl w:val="0"/>
              <w:shd w:val="clear"/>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纺织企业</w:t>
            </w:r>
          </w:p>
        </w:tc>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keepNext w:val="0"/>
              <w:keepLines w:val="0"/>
              <w:pageBreakBefore w:val="0"/>
              <w:widowControl w:val="0"/>
              <w:shd w:val="clear"/>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 xml:space="preserve">2 </w:t>
            </w:r>
          </w:p>
        </w:tc>
        <w:tc>
          <w:tcPr>
            <w:tcW w:w="15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keepNext w:val="0"/>
              <w:keepLines w:val="0"/>
              <w:pageBreakBefore w:val="0"/>
              <w:widowControl w:val="0"/>
              <w:shd w:val="clear"/>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0.</w:t>
            </w:r>
            <w:r>
              <w:rPr>
                <w:rFonts w:hint="default" w:ascii="Times New Roman" w:hAnsi="Times New Roman" w:eastAsia="方正仿宋_GBK" w:cs="Times New Roman"/>
                <w:color w:val="auto"/>
                <w:sz w:val="21"/>
                <w:szCs w:val="21"/>
                <w:highlight w:val="none"/>
                <w:lang w:val="en-US" w:eastAsia="zh-CN"/>
              </w:rPr>
              <w:t>20</w:t>
            </w:r>
          </w:p>
        </w:tc>
      </w:tr>
      <w:tr>
        <w:tblPrEx>
          <w:tblLayout w:type="fixed"/>
          <w:tblCellMar>
            <w:top w:w="0" w:type="dxa"/>
            <w:left w:w="0" w:type="dxa"/>
            <w:bottom w:w="0" w:type="dxa"/>
            <w:right w:w="0" w:type="dxa"/>
          </w:tblCellMar>
        </w:tblPrEx>
        <w:trPr>
          <w:trHeight w:val="457" w:hRule="atLeast"/>
        </w:trPr>
        <w:tc>
          <w:tcPr>
            <w:tcW w:w="2101"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keepNext w:val="0"/>
              <w:keepLines w:val="0"/>
              <w:pageBreakBefore w:val="0"/>
              <w:widowControl w:val="0"/>
              <w:shd w:val="clear"/>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沭阳</w:t>
            </w:r>
          </w:p>
        </w:tc>
        <w:tc>
          <w:tcPr>
            <w:tcW w:w="183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keepNext w:val="0"/>
              <w:keepLines w:val="0"/>
              <w:pageBreakBefore w:val="0"/>
              <w:widowControl w:val="0"/>
              <w:shd w:val="clear"/>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国开区</w:t>
            </w:r>
          </w:p>
        </w:tc>
        <w:tc>
          <w:tcPr>
            <w:tcW w:w="15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keepNext w:val="0"/>
              <w:keepLines w:val="0"/>
              <w:pageBreakBefore w:val="0"/>
              <w:widowControl w:val="0"/>
              <w:shd w:val="clear"/>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纺织、造纸、金属加工业</w:t>
            </w:r>
          </w:p>
        </w:tc>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keepNext w:val="0"/>
              <w:keepLines w:val="0"/>
              <w:pageBreakBefore w:val="0"/>
              <w:widowControl w:val="0"/>
              <w:shd w:val="clear"/>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color w:val="auto"/>
                <w:sz w:val="21"/>
                <w:szCs w:val="21"/>
                <w:highlight w:val="none"/>
                <w:lang w:val="en-US" w:eastAsia="zh"/>
              </w:rPr>
            </w:pPr>
            <w:r>
              <w:rPr>
                <w:rFonts w:hint="default" w:ascii="Times New Roman" w:hAnsi="Times New Roman" w:eastAsia="方正仿宋_GBK" w:cs="Times New Roman"/>
                <w:color w:val="auto"/>
                <w:sz w:val="21"/>
                <w:szCs w:val="21"/>
                <w:highlight w:val="none"/>
                <w:lang w:val="en-US" w:eastAsia="zh-CN"/>
              </w:rPr>
              <w:t>37</w:t>
            </w:r>
            <w:r>
              <w:rPr>
                <w:rFonts w:hint="eastAsia" w:ascii="Times New Roman" w:hAnsi="Times New Roman" w:eastAsia="方正仿宋_GBK" w:cs="Times New Roman"/>
                <w:color w:val="auto"/>
                <w:sz w:val="21"/>
                <w:szCs w:val="21"/>
                <w:highlight w:val="none"/>
                <w:lang w:val="en-US" w:eastAsia="zh-CN"/>
              </w:rPr>
              <w:t>0</w:t>
            </w:r>
          </w:p>
        </w:tc>
        <w:tc>
          <w:tcPr>
            <w:tcW w:w="15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keepNext w:val="0"/>
              <w:keepLines w:val="0"/>
              <w:pageBreakBefore w:val="0"/>
              <w:widowControl w:val="0"/>
              <w:shd w:val="clear"/>
              <w:kinsoku/>
              <w:wordWrap/>
              <w:overflowPunct/>
              <w:topLinePunct w:val="0"/>
              <w:autoSpaceDE/>
              <w:autoSpaceDN/>
              <w:bidi w:val="0"/>
              <w:adjustRightInd/>
              <w:snapToGrid/>
              <w:spacing w:line="260" w:lineRule="exact"/>
              <w:textAlignment w:val="auto"/>
              <w:rPr>
                <w:rFonts w:hint="eastAsia" w:ascii="Times New Roman" w:hAnsi="Times New Roman" w:eastAsia="方正仿宋_GBK" w:cs="Times New Roman"/>
                <w:color w:val="auto"/>
                <w:sz w:val="21"/>
                <w:szCs w:val="21"/>
                <w:highlight w:val="none"/>
                <w:lang w:eastAsia="zh"/>
              </w:rPr>
            </w:pPr>
            <w:r>
              <w:rPr>
                <w:rFonts w:hint="eastAsia" w:ascii="Times New Roman" w:hAnsi="Times New Roman" w:eastAsia="方正仿宋_GBK" w:cs="Times New Roman"/>
                <w:color w:val="auto"/>
                <w:sz w:val="21"/>
                <w:szCs w:val="21"/>
                <w:highlight w:val="none"/>
                <w:lang w:eastAsia="zh"/>
              </w:rPr>
              <w:t>5.57</w:t>
            </w:r>
          </w:p>
        </w:tc>
      </w:tr>
      <w:tr>
        <w:tblPrEx>
          <w:tblLayout w:type="fixed"/>
          <w:tblCellMar>
            <w:top w:w="0" w:type="dxa"/>
            <w:left w:w="0" w:type="dxa"/>
            <w:bottom w:w="0" w:type="dxa"/>
            <w:right w:w="0" w:type="dxa"/>
          </w:tblCellMar>
        </w:tblPrEx>
        <w:trPr>
          <w:trHeight w:val="632" w:hRule="atLeast"/>
        </w:trPr>
        <w:tc>
          <w:tcPr>
            <w:tcW w:w="2101"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keepNext w:val="0"/>
              <w:keepLines w:val="0"/>
              <w:pageBreakBefore w:val="0"/>
              <w:widowControl w:val="0"/>
              <w:shd w:val="clear"/>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泗阳</w:t>
            </w:r>
          </w:p>
        </w:tc>
        <w:tc>
          <w:tcPr>
            <w:tcW w:w="183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keepNext w:val="0"/>
              <w:keepLines w:val="0"/>
              <w:pageBreakBefore w:val="0"/>
              <w:widowControl w:val="0"/>
              <w:shd w:val="clear"/>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泗阳经开区、高新产业园</w:t>
            </w:r>
          </w:p>
        </w:tc>
        <w:tc>
          <w:tcPr>
            <w:tcW w:w="15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keepNext w:val="0"/>
              <w:keepLines w:val="0"/>
              <w:pageBreakBefore w:val="0"/>
              <w:widowControl w:val="0"/>
              <w:shd w:val="clear"/>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纺织企业、木材加工企业</w:t>
            </w:r>
          </w:p>
        </w:tc>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keepNext w:val="0"/>
              <w:keepLines w:val="0"/>
              <w:pageBreakBefore w:val="0"/>
              <w:widowControl w:val="0"/>
              <w:shd w:val="clear"/>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1</w:t>
            </w:r>
            <w:r>
              <w:rPr>
                <w:rFonts w:hint="default" w:ascii="Times New Roman" w:hAnsi="Times New Roman" w:eastAsia="方正仿宋_GBK" w:cs="Times New Roman"/>
                <w:color w:val="auto"/>
                <w:sz w:val="21"/>
                <w:szCs w:val="21"/>
                <w:highlight w:val="none"/>
                <w:lang w:val="en-US" w:eastAsia="zh-CN"/>
              </w:rPr>
              <w:t>1</w:t>
            </w:r>
            <w:r>
              <w:rPr>
                <w:rFonts w:hint="eastAsia" w:ascii="Times New Roman" w:hAnsi="Times New Roman" w:eastAsia="方正仿宋_GBK" w:cs="Times New Roman"/>
                <w:color w:val="auto"/>
                <w:sz w:val="21"/>
                <w:szCs w:val="21"/>
                <w:highlight w:val="none"/>
                <w:lang w:val="en-US" w:eastAsia="zh-CN"/>
              </w:rPr>
              <w:t>2</w:t>
            </w:r>
          </w:p>
        </w:tc>
        <w:tc>
          <w:tcPr>
            <w:tcW w:w="15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keepNext w:val="0"/>
              <w:keepLines w:val="0"/>
              <w:pageBreakBefore w:val="0"/>
              <w:widowControl w:val="0"/>
              <w:shd w:val="clear"/>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color w:val="auto"/>
                <w:sz w:val="21"/>
                <w:szCs w:val="21"/>
                <w:highlight w:val="none"/>
                <w:lang w:val="en-US" w:eastAsia="zh-CN"/>
              </w:rPr>
            </w:pPr>
            <w:r>
              <w:rPr>
                <w:rFonts w:hint="eastAsia" w:ascii="Times New Roman" w:hAnsi="Times New Roman" w:eastAsia="方正仿宋_GBK" w:cs="Times New Roman"/>
                <w:color w:val="auto"/>
                <w:sz w:val="21"/>
                <w:szCs w:val="21"/>
                <w:highlight w:val="none"/>
                <w:lang w:val="en-US" w:eastAsia="zh-CN"/>
              </w:rPr>
              <w:t>6.96</w:t>
            </w:r>
          </w:p>
        </w:tc>
      </w:tr>
      <w:tr>
        <w:tblPrEx>
          <w:tblLayout w:type="fixed"/>
          <w:tblCellMar>
            <w:top w:w="0" w:type="dxa"/>
            <w:left w:w="0" w:type="dxa"/>
            <w:bottom w:w="0" w:type="dxa"/>
            <w:right w:w="0" w:type="dxa"/>
          </w:tblCellMar>
        </w:tblPrEx>
        <w:trPr>
          <w:trHeight w:val="632" w:hRule="atLeast"/>
        </w:trPr>
        <w:tc>
          <w:tcPr>
            <w:tcW w:w="80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keepNext w:val="0"/>
              <w:keepLines w:val="0"/>
              <w:pageBreakBefore w:val="0"/>
              <w:widowControl w:val="0"/>
              <w:shd w:val="clear"/>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其中</w:t>
            </w:r>
          </w:p>
        </w:tc>
        <w:tc>
          <w:tcPr>
            <w:tcW w:w="1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keepNext w:val="0"/>
              <w:keepLines w:val="0"/>
              <w:pageBreakBefore w:val="0"/>
              <w:widowControl w:val="0"/>
              <w:shd w:val="clear"/>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东开增量</w:t>
            </w:r>
          </w:p>
          <w:p>
            <w:pPr>
              <w:pStyle w:val="23"/>
              <w:keepNext w:val="0"/>
              <w:keepLines w:val="0"/>
              <w:pageBreakBefore w:val="0"/>
              <w:widowControl w:val="0"/>
              <w:shd w:val="clear"/>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配电网</w:t>
            </w:r>
          </w:p>
        </w:tc>
        <w:tc>
          <w:tcPr>
            <w:tcW w:w="183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keepNext w:val="0"/>
              <w:keepLines w:val="0"/>
              <w:pageBreakBefore w:val="0"/>
              <w:widowControl w:val="0"/>
              <w:shd w:val="clear"/>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泗阳经开区</w:t>
            </w:r>
          </w:p>
        </w:tc>
        <w:tc>
          <w:tcPr>
            <w:tcW w:w="15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keepNext w:val="0"/>
              <w:keepLines w:val="0"/>
              <w:pageBreakBefore w:val="0"/>
              <w:widowControl w:val="0"/>
              <w:shd w:val="clear"/>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纺织企业</w:t>
            </w:r>
          </w:p>
        </w:tc>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keepNext w:val="0"/>
              <w:keepLines w:val="0"/>
              <w:pageBreakBefore w:val="0"/>
              <w:widowControl w:val="0"/>
              <w:shd w:val="clear"/>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val="en-US" w:eastAsia="zh-CN"/>
              </w:rPr>
              <w:t>32</w:t>
            </w:r>
            <w:r>
              <w:rPr>
                <w:rFonts w:hint="default" w:ascii="Times New Roman" w:hAnsi="Times New Roman" w:eastAsia="方正仿宋_GBK" w:cs="Times New Roman"/>
                <w:color w:val="auto"/>
                <w:sz w:val="21"/>
                <w:szCs w:val="21"/>
                <w:highlight w:val="none"/>
              </w:rPr>
              <w:t xml:space="preserve"> </w:t>
            </w:r>
          </w:p>
        </w:tc>
        <w:tc>
          <w:tcPr>
            <w:tcW w:w="15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keepNext w:val="0"/>
              <w:keepLines w:val="0"/>
              <w:pageBreakBefore w:val="0"/>
              <w:widowControl w:val="0"/>
              <w:shd w:val="clear"/>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rPr>
              <w:t>2.</w:t>
            </w:r>
            <w:r>
              <w:rPr>
                <w:rFonts w:hint="default" w:ascii="Times New Roman" w:hAnsi="Times New Roman" w:eastAsia="方正仿宋_GBK" w:cs="Times New Roman"/>
                <w:color w:val="auto"/>
                <w:sz w:val="21"/>
                <w:szCs w:val="21"/>
                <w:highlight w:val="none"/>
                <w:lang w:val="en-US" w:eastAsia="zh-CN"/>
              </w:rPr>
              <w:t>56</w:t>
            </w:r>
          </w:p>
        </w:tc>
      </w:tr>
      <w:tr>
        <w:tblPrEx>
          <w:tblLayout w:type="fixed"/>
          <w:tblCellMar>
            <w:top w:w="0" w:type="dxa"/>
            <w:left w:w="0" w:type="dxa"/>
            <w:bottom w:w="0" w:type="dxa"/>
            <w:right w:w="0" w:type="dxa"/>
          </w:tblCellMar>
        </w:tblPrEx>
        <w:trPr>
          <w:trHeight w:val="404" w:hRule="atLeast"/>
        </w:trPr>
        <w:tc>
          <w:tcPr>
            <w:tcW w:w="2101"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keepNext w:val="0"/>
              <w:keepLines w:val="0"/>
              <w:pageBreakBefore w:val="0"/>
              <w:widowControl w:val="0"/>
              <w:shd w:val="clear"/>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泗洪</w:t>
            </w:r>
          </w:p>
        </w:tc>
        <w:tc>
          <w:tcPr>
            <w:tcW w:w="183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keepNext w:val="0"/>
              <w:keepLines w:val="0"/>
              <w:pageBreakBefore w:val="0"/>
              <w:widowControl w:val="0"/>
              <w:shd w:val="clear"/>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经开区、常泗工业园</w:t>
            </w:r>
          </w:p>
        </w:tc>
        <w:tc>
          <w:tcPr>
            <w:tcW w:w="15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keepNext w:val="0"/>
              <w:keepLines w:val="0"/>
              <w:pageBreakBefore w:val="0"/>
              <w:widowControl w:val="0"/>
              <w:shd w:val="clear"/>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纺织企业</w:t>
            </w:r>
          </w:p>
        </w:tc>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keepNext w:val="0"/>
              <w:keepLines w:val="0"/>
              <w:pageBreakBefore w:val="0"/>
              <w:widowControl w:val="0"/>
              <w:shd w:val="clear"/>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color w:val="auto"/>
                <w:sz w:val="21"/>
                <w:szCs w:val="21"/>
                <w:highlight w:val="none"/>
                <w:lang w:val="en-US"/>
              </w:rPr>
            </w:pPr>
            <w:r>
              <w:rPr>
                <w:rFonts w:hint="default" w:ascii="Times New Roman" w:hAnsi="Times New Roman" w:eastAsia="方正仿宋_GBK" w:cs="Times New Roman"/>
                <w:color w:val="auto"/>
                <w:sz w:val="21"/>
                <w:szCs w:val="21"/>
                <w:highlight w:val="none"/>
              </w:rPr>
              <w:t>2</w:t>
            </w:r>
            <w:r>
              <w:rPr>
                <w:rFonts w:hint="default" w:ascii="Times New Roman" w:hAnsi="Times New Roman" w:eastAsia="方正仿宋_GBK" w:cs="Times New Roman"/>
                <w:color w:val="auto"/>
                <w:sz w:val="21"/>
                <w:szCs w:val="21"/>
                <w:highlight w:val="none"/>
                <w:lang w:val="en-US" w:eastAsia="zh-CN"/>
              </w:rPr>
              <w:t>2</w:t>
            </w:r>
            <w:r>
              <w:rPr>
                <w:rFonts w:hint="eastAsia" w:ascii="Times New Roman" w:hAnsi="Times New Roman" w:eastAsia="方正仿宋_GBK" w:cs="Times New Roman"/>
                <w:color w:val="auto"/>
                <w:sz w:val="21"/>
                <w:szCs w:val="21"/>
                <w:highlight w:val="none"/>
                <w:lang w:val="en-US" w:eastAsia="zh-CN"/>
              </w:rPr>
              <w:t>0</w:t>
            </w:r>
          </w:p>
        </w:tc>
        <w:tc>
          <w:tcPr>
            <w:tcW w:w="15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keepNext w:val="0"/>
              <w:keepLines w:val="0"/>
              <w:pageBreakBefore w:val="0"/>
              <w:widowControl w:val="0"/>
              <w:shd w:val="clear"/>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15.</w:t>
            </w:r>
            <w:r>
              <w:rPr>
                <w:rFonts w:hint="eastAsia" w:ascii="Times New Roman" w:hAnsi="Times New Roman" w:eastAsia="方正仿宋_GBK" w:cs="Times New Roman"/>
                <w:color w:val="auto"/>
                <w:sz w:val="21"/>
                <w:szCs w:val="21"/>
                <w:highlight w:val="none"/>
                <w:lang w:val="en-US" w:eastAsia="zh-CN"/>
              </w:rPr>
              <w:t>09</w:t>
            </w:r>
          </w:p>
        </w:tc>
      </w:tr>
      <w:tr>
        <w:tblPrEx>
          <w:tblLayout w:type="fixed"/>
          <w:tblCellMar>
            <w:top w:w="0" w:type="dxa"/>
            <w:left w:w="0" w:type="dxa"/>
            <w:bottom w:w="0" w:type="dxa"/>
            <w:right w:w="0" w:type="dxa"/>
          </w:tblCellMar>
        </w:tblPrEx>
        <w:trPr>
          <w:trHeight w:val="428" w:hRule="atLeast"/>
        </w:trPr>
        <w:tc>
          <w:tcPr>
            <w:tcW w:w="2101"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keepNext w:val="0"/>
              <w:keepLines w:val="0"/>
              <w:pageBreakBefore w:val="0"/>
              <w:widowControl w:val="0"/>
              <w:shd w:val="clear"/>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合计</w:t>
            </w:r>
          </w:p>
        </w:tc>
        <w:tc>
          <w:tcPr>
            <w:tcW w:w="183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keepNext w:val="0"/>
              <w:keepLines w:val="0"/>
              <w:pageBreakBefore w:val="0"/>
              <w:widowControl w:val="0"/>
              <w:shd w:val="clear"/>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p>
        </w:tc>
        <w:tc>
          <w:tcPr>
            <w:tcW w:w="15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keepNext w:val="0"/>
              <w:keepLines w:val="0"/>
              <w:pageBreakBefore w:val="0"/>
              <w:widowControl w:val="0"/>
              <w:shd w:val="clear"/>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w:t>
            </w:r>
          </w:p>
        </w:tc>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keepNext w:val="0"/>
              <w:keepLines w:val="0"/>
              <w:pageBreakBefore w:val="0"/>
              <w:widowControl w:val="0"/>
              <w:shd w:val="clear"/>
              <w:kinsoku/>
              <w:wordWrap/>
              <w:overflowPunct/>
              <w:topLinePunct w:val="0"/>
              <w:autoSpaceDE/>
              <w:autoSpaceDN/>
              <w:bidi w:val="0"/>
              <w:adjustRightInd/>
              <w:snapToGrid/>
              <w:spacing w:line="260" w:lineRule="exact"/>
              <w:textAlignment w:val="auto"/>
              <w:rPr>
                <w:rFonts w:hint="eastAsia"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7</w:t>
            </w:r>
            <w:r>
              <w:rPr>
                <w:rFonts w:hint="eastAsia" w:ascii="Times New Roman" w:hAnsi="Times New Roman" w:eastAsia="方正仿宋_GBK" w:cs="Times New Roman"/>
                <w:color w:val="auto"/>
                <w:sz w:val="21"/>
                <w:szCs w:val="21"/>
                <w:highlight w:val="none"/>
                <w:lang w:val="en-US" w:eastAsia="zh"/>
              </w:rPr>
              <w:t>6</w:t>
            </w:r>
            <w:r>
              <w:rPr>
                <w:rFonts w:hint="eastAsia" w:ascii="Times New Roman" w:hAnsi="Times New Roman" w:eastAsia="方正仿宋_GBK" w:cs="Times New Roman"/>
                <w:color w:val="auto"/>
                <w:sz w:val="21"/>
                <w:szCs w:val="21"/>
                <w:highlight w:val="none"/>
                <w:lang w:val="en-US" w:eastAsia="zh-CN"/>
              </w:rPr>
              <w:t>1</w:t>
            </w:r>
          </w:p>
        </w:tc>
        <w:tc>
          <w:tcPr>
            <w:tcW w:w="15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3"/>
              <w:keepNext w:val="0"/>
              <w:keepLines w:val="0"/>
              <w:pageBreakBefore w:val="0"/>
              <w:widowControl w:val="0"/>
              <w:shd w:val="clear"/>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color w:val="auto"/>
                <w:sz w:val="21"/>
                <w:szCs w:val="21"/>
                <w:highlight w:val="none"/>
                <w:lang w:val="en-US" w:eastAsia="zh-CN"/>
              </w:rPr>
            </w:pPr>
            <w:r>
              <w:rPr>
                <w:rFonts w:hint="default" w:ascii="Times New Roman" w:hAnsi="Times New Roman" w:eastAsia="方正仿宋_GBK" w:cs="Times New Roman"/>
                <w:color w:val="auto"/>
                <w:sz w:val="21"/>
                <w:szCs w:val="21"/>
                <w:highlight w:val="none"/>
                <w:lang w:val="en-US" w:eastAsia="zh-CN"/>
              </w:rPr>
              <w:t>46.</w:t>
            </w:r>
            <w:r>
              <w:rPr>
                <w:rFonts w:hint="eastAsia" w:ascii="Times New Roman" w:hAnsi="Times New Roman" w:eastAsia="方正仿宋_GBK" w:cs="Times New Roman"/>
                <w:color w:val="auto"/>
                <w:sz w:val="21"/>
                <w:szCs w:val="21"/>
                <w:highlight w:val="none"/>
                <w:lang w:val="en-US" w:eastAsia="zh-CN"/>
              </w:rPr>
              <w:t>05</w:t>
            </w:r>
          </w:p>
        </w:tc>
      </w:tr>
    </w:tbl>
    <w:p>
      <w:pPr>
        <w:shd w:val="clea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政府重点关注的重点产业链连续性生产企业也纳入了该普降方案，在本方案中单独建组，根据</w:t>
      </w:r>
      <w:r>
        <w:rPr>
          <w:rFonts w:hint="default" w:ascii="Times New Roman" w:hAnsi="Times New Roman" w:eastAsia="方正仿宋_GBK" w:cs="Times New Roman"/>
          <w:color w:val="auto"/>
          <w:sz w:val="32"/>
          <w:szCs w:val="32"/>
          <w:highlight w:val="none"/>
          <w:lang w:eastAsia="zh-CN"/>
        </w:rPr>
        <w:t>电力缺口</w:t>
      </w:r>
      <w:r>
        <w:rPr>
          <w:rFonts w:hint="default" w:ascii="Times New Roman" w:hAnsi="Times New Roman" w:eastAsia="方正仿宋_GBK" w:cs="Times New Roman"/>
          <w:color w:val="auto"/>
          <w:sz w:val="32"/>
          <w:szCs w:val="32"/>
          <w:highlight w:val="none"/>
        </w:rPr>
        <w:t>的情况，按比例压降用电负荷。</w:t>
      </w:r>
    </w:p>
    <w:p>
      <w:pPr>
        <w:shd w:val="clea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经统计，宿迁纳入普降的客户共计</w:t>
      </w:r>
      <w:r>
        <w:rPr>
          <w:rFonts w:hint="default" w:ascii="Times New Roman" w:hAnsi="Times New Roman" w:eastAsia="方正仿宋_GBK" w:cs="Times New Roman"/>
          <w:color w:val="auto"/>
          <w:sz w:val="32"/>
          <w:szCs w:val="32"/>
          <w:highlight w:val="none"/>
          <w:lang w:val="en-US" w:eastAsia="zh-CN"/>
        </w:rPr>
        <w:t>7</w:t>
      </w:r>
      <w:r>
        <w:rPr>
          <w:rFonts w:hint="eastAsia" w:ascii="Times New Roman" w:hAnsi="Times New Roman" w:eastAsia="方正仿宋_GBK" w:cs="Times New Roman"/>
          <w:color w:val="auto"/>
          <w:sz w:val="32"/>
          <w:szCs w:val="32"/>
          <w:highlight w:val="none"/>
          <w:lang w:val="en-US" w:eastAsia="zh"/>
        </w:rPr>
        <w:t>6</w:t>
      </w:r>
      <w:r>
        <w:rPr>
          <w:rFonts w:hint="eastAsia" w:ascii="Times New Roman" w:hAnsi="Times New Roman" w:eastAsia="方正仿宋_GBK" w:cs="Times New Roman"/>
          <w:color w:val="auto"/>
          <w:sz w:val="32"/>
          <w:szCs w:val="32"/>
          <w:highlight w:val="none"/>
          <w:lang w:val="en-US" w:eastAsia="zh-CN"/>
        </w:rPr>
        <w:t>1</w:t>
      </w:r>
      <w:r>
        <w:rPr>
          <w:rFonts w:hint="default" w:ascii="Times New Roman" w:hAnsi="Times New Roman" w:eastAsia="方正仿宋_GBK" w:cs="Times New Roman"/>
          <w:color w:val="auto"/>
          <w:sz w:val="32"/>
          <w:szCs w:val="32"/>
          <w:highlight w:val="none"/>
        </w:rPr>
        <w:t>户，</w:t>
      </w:r>
      <w:r>
        <w:rPr>
          <w:rFonts w:hint="eastAsia" w:ascii="Times New Roman" w:hAnsi="Times New Roman" w:eastAsia="方正仿宋_GBK" w:cs="Times New Roman"/>
          <w:color w:val="auto"/>
          <w:sz w:val="32"/>
          <w:szCs w:val="32"/>
          <w:highlight w:val="none"/>
          <w:lang w:eastAsia="zh-CN"/>
        </w:rPr>
        <w:t>最大可调负荷</w:t>
      </w:r>
      <w:r>
        <w:rPr>
          <w:rFonts w:hint="default" w:ascii="Times New Roman" w:hAnsi="Times New Roman" w:eastAsia="方正仿宋_GBK" w:cs="Times New Roman"/>
          <w:color w:val="auto"/>
          <w:sz w:val="32"/>
          <w:szCs w:val="32"/>
          <w:highlight w:val="none"/>
          <w:lang w:val="en-US" w:eastAsia="zh-CN"/>
        </w:rPr>
        <w:t>46.</w:t>
      </w:r>
      <w:r>
        <w:rPr>
          <w:rFonts w:hint="eastAsia" w:ascii="Times New Roman" w:hAnsi="Times New Roman" w:eastAsia="方正仿宋_GBK" w:cs="Times New Roman"/>
          <w:color w:val="auto"/>
          <w:sz w:val="32"/>
          <w:szCs w:val="32"/>
          <w:highlight w:val="none"/>
          <w:lang w:val="en-US" w:eastAsia="zh-CN"/>
        </w:rPr>
        <w:t>05</w:t>
      </w:r>
      <w:r>
        <w:rPr>
          <w:rFonts w:hint="default" w:ascii="Times New Roman" w:hAnsi="Times New Roman" w:eastAsia="方正仿宋_GBK" w:cs="Times New Roman"/>
          <w:color w:val="auto"/>
          <w:sz w:val="32"/>
          <w:szCs w:val="32"/>
          <w:highlight w:val="none"/>
        </w:rPr>
        <w:t>万千瓦（不含重点产业链客户普降负荷）。</w:t>
      </w:r>
    </w:p>
    <w:p>
      <w:pPr>
        <w:ind w:firstLine="640"/>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3.轮休措施</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为有效应对可能出现的阶段性电力缺口，采取“保五错二”“保四错三”等方式，实行有序生产，稳定企业生产经营预期，制定科学完善的企业轮休措施。同时，充分考虑用户参与轮休的公平性，保障地区产业链上下游企业用电整体协同。经排查，宿迁轮休组用户</w:t>
      </w:r>
      <w:r>
        <w:rPr>
          <w:rFonts w:hint="eastAsia" w:ascii="Times New Roman" w:hAnsi="Times New Roman" w:eastAsia="方正仿宋_GBK" w:cs="Times New Roman"/>
          <w:color w:val="auto"/>
          <w:sz w:val="32"/>
          <w:szCs w:val="32"/>
          <w:highlight w:val="none"/>
          <w:lang w:val="en-US" w:eastAsia="zh-CN"/>
        </w:rPr>
        <w:t>6107</w:t>
      </w:r>
      <w:r>
        <w:rPr>
          <w:rFonts w:hint="default" w:ascii="Times New Roman" w:hAnsi="Times New Roman" w:eastAsia="方正仿宋_GBK" w:cs="Times New Roman"/>
          <w:color w:val="auto"/>
          <w:sz w:val="32"/>
          <w:szCs w:val="32"/>
          <w:highlight w:val="none"/>
        </w:rPr>
        <w:t>户，</w:t>
      </w:r>
      <w:r>
        <w:rPr>
          <w:rFonts w:hint="eastAsia" w:ascii="Times New Roman" w:hAnsi="Times New Roman" w:eastAsia="方正仿宋_GBK" w:cs="Times New Roman"/>
          <w:color w:val="auto"/>
          <w:sz w:val="32"/>
          <w:szCs w:val="32"/>
          <w:highlight w:val="none"/>
          <w:lang w:val="en-US" w:eastAsia="zh-CN"/>
        </w:rPr>
        <w:t>腰峰</w:t>
      </w:r>
      <w:r>
        <w:rPr>
          <w:rFonts w:hint="eastAsia" w:ascii="Times New Roman" w:hAnsi="Times New Roman" w:eastAsia="方正仿宋_GBK" w:cs="Times New Roman"/>
          <w:color w:val="auto"/>
          <w:sz w:val="32"/>
          <w:szCs w:val="32"/>
          <w:highlight w:val="none"/>
          <w:lang w:eastAsia="zh-CN"/>
        </w:rPr>
        <w:t>最大可调负荷</w:t>
      </w:r>
      <w:r>
        <w:rPr>
          <w:rFonts w:hint="eastAsia" w:ascii="Times New Roman" w:hAnsi="Times New Roman" w:eastAsia="方正仿宋_GBK" w:cs="Times New Roman"/>
          <w:color w:val="auto"/>
          <w:sz w:val="32"/>
          <w:szCs w:val="32"/>
          <w:highlight w:val="none"/>
          <w:lang w:val="en-US" w:eastAsia="zh-CN"/>
        </w:rPr>
        <w:t>110.77</w:t>
      </w:r>
      <w:r>
        <w:rPr>
          <w:rFonts w:hint="default" w:ascii="Times New Roman" w:hAnsi="Times New Roman" w:eastAsia="方正仿宋_GBK" w:cs="Times New Roman"/>
          <w:color w:val="auto"/>
          <w:sz w:val="32"/>
          <w:szCs w:val="32"/>
          <w:highlight w:val="none"/>
        </w:rPr>
        <w:t>万千瓦，按照企业行政区域划分将用户分为7组，每组</w:t>
      </w:r>
      <w:r>
        <w:rPr>
          <w:rFonts w:hint="eastAsia" w:ascii="Times New Roman" w:hAnsi="Times New Roman" w:eastAsia="方正仿宋_GBK" w:cs="Times New Roman"/>
          <w:color w:val="auto"/>
          <w:sz w:val="32"/>
          <w:szCs w:val="32"/>
          <w:highlight w:val="none"/>
          <w:lang w:eastAsia="zh"/>
        </w:rPr>
        <w:t>腰</w:t>
      </w:r>
      <w:r>
        <w:rPr>
          <w:rFonts w:hint="default" w:ascii="Times New Roman" w:hAnsi="Times New Roman" w:eastAsia="方正仿宋_GBK" w:cs="Times New Roman"/>
          <w:color w:val="auto"/>
          <w:sz w:val="32"/>
          <w:szCs w:val="32"/>
          <w:highlight w:val="none"/>
        </w:rPr>
        <w:t>峰</w:t>
      </w:r>
      <w:r>
        <w:rPr>
          <w:rFonts w:hint="eastAsia" w:ascii="Times New Roman" w:hAnsi="Times New Roman" w:eastAsia="方正仿宋_GBK" w:cs="Times New Roman"/>
          <w:color w:val="auto"/>
          <w:sz w:val="32"/>
          <w:szCs w:val="32"/>
          <w:highlight w:val="none"/>
          <w:lang w:eastAsia="zh-CN"/>
        </w:rPr>
        <w:t>最大可调负荷</w:t>
      </w:r>
      <w:r>
        <w:rPr>
          <w:rFonts w:hint="default" w:ascii="Times New Roman" w:hAnsi="Times New Roman" w:eastAsia="方正仿宋_GBK" w:cs="Times New Roman"/>
          <w:color w:val="auto"/>
          <w:sz w:val="32"/>
          <w:szCs w:val="32"/>
          <w:highlight w:val="none"/>
        </w:rPr>
        <w:t>约</w:t>
      </w:r>
      <w:r>
        <w:rPr>
          <w:rFonts w:hint="eastAsia" w:ascii="Times New Roman" w:hAnsi="Times New Roman" w:eastAsia="方正仿宋_GBK" w:cs="Times New Roman"/>
          <w:color w:val="auto"/>
          <w:sz w:val="32"/>
          <w:szCs w:val="32"/>
          <w:highlight w:val="none"/>
          <w:lang w:val="en-US" w:eastAsia="zh-CN"/>
        </w:rPr>
        <w:t>15.82</w:t>
      </w:r>
      <w:r>
        <w:rPr>
          <w:rFonts w:hint="default" w:ascii="Times New Roman" w:hAnsi="Times New Roman" w:eastAsia="方正仿宋_GBK" w:cs="Times New Roman"/>
          <w:color w:val="auto"/>
          <w:sz w:val="32"/>
          <w:szCs w:val="32"/>
          <w:highlight w:val="none"/>
        </w:rPr>
        <w:t>万千瓦，如执行“保四错三”，单日最大可调负荷</w:t>
      </w:r>
      <w:r>
        <w:rPr>
          <w:rFonts w:hint="eastAsia" w:ascii="Times New Roman" w:hAnsi="Times New Roman" w:eastAsia="方正仿宋_GBK" w:cs="Times New Roman"/>
          <w:color w:val="auto"/>
          <w:sz w:val="32"/>
          <w:szCs w:val="32"/>
          <w:highlight w:val="none"/>
          <w:lang w:val="en-US" w:eastAsia="zh-CN"/>
        </w:rPr>
        <w:t>47.47</w:t>
      </w:r>
      <w:r>
        <w:rPr>
          <w:rFonts w:hint="default" w:ascii="Times New Roman" w:hAnsi="Times New Roman" w:eastAsia="方正仿宋_GBK" w:cs="Times New Roman"/>
          <w:color w:val="auto"/>
          <w:sz w:val="32"/>
          <w:szCs w:val="32"/>
          <w:highlight w:val="none"/>
        </w:rPr>
        <w:t>万千瓦，满足历史最大</w:t>
      </w:r>
      <w:r>
        <w:rPr>
          <w:rFonts w:hint="default" w:ascii="Times New Roman" w:hAnsi="Times New Roman" w:eastAsia="方正仿宋_GBK" w:cs="Times New Roman"/>
          <w:color w:val="auto"/>
          <w:sz w:val="32"/>
          <w:szCs w:val="32"/>
          <w:highlight w:val="none"/>
          <w:lang w:eastAsia="zh-CN"/>
        </w:rPr>
        <w:t>电力缺口</w:t>
      </w:r>
      <w:r>
        <w:rPr>
          <w:rFonts w:hint="default" w:ascii="Times New Roman" w:hAnsi="Times New Roman" w:eastAsia="方正仿宋_GBK" w:cs="Times New Roman"/>
          <w:color w:val="auto"/>
          <w:sz w:val="32"/>
          <w:szCs w:val="32"/>
          <w:highlight w:val="none"/>
        </w:rPr>
        <w:t>的50%指标要求。</w:t>
      </w:r>
    </w:p>
    <w:p>
      <w:pPr>
        <w:pStyle w:val="22"/>
        <w:pageBreakBefore w:val="0"/>
        <w:kinsoku/>
        <w:wordWrap/>
        <w:overflowPunct/>
        <w:topLinePunct w:val="0"/>
        <w:autoSpaceDE/>
        <w:autoSpaceDN/>
        <w:bidi w:val="0"/>
        <w:adjustRightInd/>
        <w:snapToGrid/>
        <w:spacing w:before="0" w:beforeLines="0" w:after="156"/>
        <w:ind w:firstLine="0" w:firstLineChars="0"/>
        <w:rPr>
          <w:rFonts w:hint="default" w:ascii="Times New Roman" w:hAnsi="Times New Roman" w:eastAsia="黑体" w:cs="Times New Roman"/>
          <w:b w:val="0"/>
          <w:bCs/>
          <w:color w:val="auto"/>
          <w:sz w:val="21"/>
          <w:szCs w:val="21"/>
          <w:highlight w:val="none"/>
        </w:rPr>
      </w:pPr>
      <w:bookmarkStart w:id="98" w:name="_Toc29798"/>
      <w:r>
        <w:rPr>
          <w:rFonts w:hint="default" w:ascii="Times New Roman" w:hAnsi="Times New Roman" w:eastAsia="黑体" w:cs="Times New Roman"/>
          <w:b w:val="0"/>
          <w:bCs/>
          <w:color w:val="auto"/>
          <w:sz w:val="21"/>
          <w:szCs w:val="21"/>
          <w:highlight w:val="none"/>
        </w:rPr>
        <w:t>表1</w:t>
      </w:r>
      <w:r>
        <w:rPr>
          <w:rFonts w:hint="default" w:ascii="Times New Roman" w:hAnsi="Times New Roman" w:eastAsia="黑体" w:cs="Times New Roman"/>
          <w:b w:val="0"/>
          <w:bCs/>
          <w:color w:val="auto"/>
          <w:sz w:val="21"/>
          <w:szCs w:val="21"/>
          <w:highlight w:val="none"/>
          <w:lang w:val="en-US" w:eastAsia="zh-CN"/>
        </w:rPr>
        <w:t>3</w:t>
      </w:r>
      <w:r>
        <w:rPr>
          <w:rFonts w:hint="default" w:ascii="Times New Roman" w:hAnsi="Times New Roman" w:eastAsia="黑体" w:cs="Times New Roman"/>
          <w:b w:val="0"/>
          <w:bCs/>
          <w:color w:val="auto"/>
          <w:sz w:val="21"/>
          <w:szCs w:val="21"/>
          <w:highlight w:val="none"/>
        </w:rPr>
        <w:t>：轮休措施统计表</w:t>
      </w:r>
      <w:bookmarkEnd w:id="98"/>
    </w:p>
    <w:p>
      <w:pPr>
        <w:ind w:firstLine="482"/>
        <w:jc w:val="center"/>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b/>
          <w:bCs/>
          <w:color w:val="auto"/>
          <w:sz w:val="21"/>
          <w:szCs w:val="21"/>
          <w:highlight w:val="none"/>
          <w:lang w:val="en-US" w:eastAsia="zh-CN"/>
        </w:rPr>
        <w:t xml:space="preserve">                                              </w:t>
      </w:r>
      <w:r>
        <w:rPr>
          <w:rFonts w:hint="default" w:ascii="Times New Roman" w:hAnsi="Times New Roman" w:eastAsia="方正仿宋_GBK" w:cs="Times New Roman"/>
          <w:b/>
          <w:bCs/>
          <w:color w:val="auto"/>
          <w:sz w:val="21"/>
          <w:szCs w:val="21"/>
          <w:highlight w:val="none"/>
        </w:rPr>
        <w:t>单位：户、万千瓦</w:t>
      </w:r>
    </w:p>
    <w:tbl>
      <w:tblPr>
        <w:tblStyle w:val="13"/>
        <w:tblW w:w="809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2142"/>
        <w:gridCol w:w="1489"/>
        <w:gridCol w:w="1488"/>
        <w:gridCol w:w="1489"/>
        <w:gridCol w:w="14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63" w:hRule="exact"/>
          <w:tblHeader/>
        </w:trPr>
        <w:tc>
          <w:tcPr>
            <w:tcW w:w="2142" w:type="dxa"/>
            <w:vMerge w:val="restart"/>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lang w:val="en-US" w:eastAsia="zh-CN"/>
              </w:rPr>
              <w:t>县区</w:t>
            </w:r>
          </w:p>
        </w:tc>
        <w:tc>
          <w:tcPr>
            <w:tcW w:w="1489" w:type="dxa"/>
            <w:vMerge w:val="restart"/>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lang w:val="en-US" w:eastAsia="zh-CN"/>
              </w:rPr>
              <w:t>户数</w:t>
            </w:r>
          </w:p>
        </w:tc>
        <w:tc>
          <w:tcPr>
            <w:tcW w:w="1488" w:type="dxa"/>
            <w:vMerge w:val="restart"/>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lang w:val="en-US" w:eastAsia="zh-CN"/>
              </w:rPr>
              <w:t>可调节负荷</w:t>
            </w:r>
            <w:r>
              <w:rPr>
                <w:rFonts w:hint="default" w:ascii="Times New Roman" w:hAnsi="Times New Roman" w:eastAsia="方正仿宋_GBK" w:cs="Times New Roman"/>
                <w:b/>
                <w:bCs/>
                <w:color w:val="auto"/>
                <w:sz w:val="21"/>
                <w:szCs w:val="21"/>
                <w:highlight w:val="none"/>
                <w:lang w:val="en-US" w:eastAsia="zh-CN"/>
              </w:rPr>
              <w:br w:type="textWrapping"/>
            </w:r>
            <w:r>
              <w:rPr>
                <w:rFonts w:hint="default" w:ascii="Times New Roman" w:hAnsi="Times New Roman" w:eastAsia="方正仿宋_GBK" w:cs="Times New Roman"/>
                <w:b/>
                <w:bCs/>
                <w:color w:val="auto"/>
                <w:sz w:val="21"/>
                <w:szCs w:val="21"/>
                <w:highlight w:val="none"/>
                <w:lang w:val="en-US" w:eastAsia="zh-CN"/>
              </w:rPr>
              <w:t>（取</w:t>
            </w:r>
            <w:r>
              <w:rPr>
                <w:rFonts w:hint="eastAsia" w:ascii="Times New Roman" w:hAnsi="Times New Roman" w:eastAsia="方正仿宋_GBK" w:cs="Times New Roman"/>
                <w:b/>
                <w:bCs/>
                <w:color w:val="auto"/>
                <w:sz w:val="21"/>
                <w:szCs w:val="21"/>
                <w:highlight w:val="none"/>
                <w:lang w:val="en-US" w:eastAsia="zh"/>
              </w:rPr>
              <w:t>腰</w:t>
            </w:r>
            <w:r>
              <w:rPr>
                <w:rFonts w:hint="default" w:ascii="Times New Roman" w:hAnsi="Times New Roman" w:eastAsia="方正仿宋_GBK" w:cs="Times New Roman"/>
                <w:b/>
                <w:bCs/>
                <w:color w:val="auto"/>
                <w:sz w:val="21"/>
                <w:szCs w:val="21"/>
                <w:highlight w:val="none"/>
                <w:lang w:val="en-US" w:eastAsia="zh-CN"/>
              </w:rPr>
              <w:t>峰）</w:t>
            </w:r>
          </w:p>
        </w:tc>
        <w:tc>
          <w:tcPr>
            <w:tcW w:w="1489"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lang w:val="en-US" w:eastAsia="zh-CN"/>
              </w:rPr>
              <w:t>保五错二</w:t>
            </w:r>
          </w:p>
        </w:tc>
        <w:tc>
          <w:tcPr>
            <w:tcW w:w="1489"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lang w:val="en-US" w:eastAsia="zh-CN"/>
              </w:rPr>
              <w:t>保四错三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63" w:hRule="exact"/>
          <w:tblHeader/>
        </w:trPr>
        <w:tc>
          <w:tcPr>
            <w:tcW w:w="2142" w:type="dxa"/>
            <w:vMerge w:val="continue"/>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bCs/>
                <w:color w:val="auto"/>
                <w:sz w:val="21"/>
                <w:szCs w:val="21"/>
                <w:highlight w:val="none"/>
              </w:rPr>
            </w:pPr>
          </w:p>
        </w:tc>
        <w:tc>
          <w:tcPr>
            <w:tcW w:w="1489" w:type="dxa"/>
            <w:vMerge w:val="continue"/>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bCs/>
                <w:color w:val="auto"/>
                <w:sz w:val="21"/>
                <w:szCs w:val="21"/>
                <w:highlight w:val="none"/>
              </w:rPr>
            </w:pPr>
          </w:p>
        </w:tc>
        <w:tc>
          <w:tcPr>
            <w:tcW w:w="1488" w:type="dxa"/>
            <w:vMerge w:val="continue"/>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bCs/>
                <w:color w:val="auto"/>
                <w:sz w:val="21"/>
                <w:szCs w:val="21"/>
                <w:highlight w:val="none"/>
              </w:rPr>
            </w:pPr>
          </w:p>
        </w:tc>
        <w:tc>
          <w:tcPr>
            <w:tcW w:w="1489"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bCs/>
                <w:color w:val="auto"/>
                <w:sz w:val="21"/>
                <w:szCs w:val="21"/>
                <w:highlight w:val="none"/>
              </w:rPr>
            </w:pPr>
            <w:r>
              <w:rPr>
                <w:rFonts w:hint="eastAsia" w:ascii="Times New Roman" w:hAnsi="Times New Roman" w:eastAsia="方正仿宋_GBK" w:cs="Times New Roman"/>
                <w:b/>
                <w:bCs/>
                <w:color w:val="auto"/>
                <w:sz w:val="21"/>
                <w:szCs w:val="21"/>
                <w:highlight w:val="none"/>
                <w:lang w:val="en-US" w:eastAsia="zh-CN"/>
              </w:rPr>
              <w:t>最大可调节负荷</w:t>
            </w:r>
          </w:p>
        </w:tc>
        <w:tc>
          <w:tcPr>
            <w:tcW w:w="1489"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bCs/>
                <w:color w:val="auto"/>
                <w:sz w:val="21"/>
                <w:szCs w:val="21"/>
                <w:highlight w:val="none"/>
              </w:rPr>
            </w:pPr>
            <w:r>
              <w:rPr>
                <w:rFonts w:hint="eastAsia" w:ascii="Times New Roman" w:hAnsi="Times New Roman" w:eastAsia="方正仿宋_GBK" w:cs="Times New Roman"/>
                <w:b/>
                <w:bCs/>
                <w:color w:val="auto"/>
                <w:sz w:val="21"/>
                <w:szCs w:val="21"/>
                <w:highlight w:val="none"/>
                <w:lang w:val="en-US" w:eastAsia="zh-CN"/>
              </w:rPr>
              <w:t>最大可调节负荷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63" w:hRule="exact"/>
        </w:trPr>
        <w:tc>
          <w:tcPr>
            <w:tcW w:w="2142"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val="0"/>
                <w:bCs w:val="0"/>
                <w:color w:val="auto"/>
                <w:sz w:val="21"/>
                <w:szCs w:val="21"/>
                <w:highlight w:val="none"/>
              </w:rPr>
            </w:pPr>
            <w:r>
              <w:rPr>
                <w:rFonts w:hint="default" w:ascii="Times New Roman" w:hAnsi="Times New Roman" w:eastAsia="方正仿宋_GBK" w:cs="Times New Roman"/>
                <w:b w:val="0"/>
                <w:bCs w:val="0"/>
                <w:color w:val="auto"/>
                <w:sz w:val="21"/>
                <w:szCs w:val="21"/>
                <w:highlight w:val="none"/>
                <w:lang w:val="en-US" w:eastAsia="zh-CN"/>
              </w:rPr>
              <w:t>全市</w:t>
            </w:r>
          </w:p>
        </w:tc>
        <w:tc>
          <w:tcPr>
            <w:tcW w:w="1489"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6107</w:t>
            </w:r>
          </w:p>
        </w:tc>
        <w:tc>
          <w:tcPr>
            <w:tcW w:w="148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110.77</w:t>
            </w:r>
          </w:p>
        </w:tc>
        <w:tc>
          <w:tcPr>
            <w:tcW w:w="1489"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31.65</w:t>
            </w:r>
          </w:p>
        </w:tc>
        <w:tc>
          <w:tcPr>
            <w:tcW w:w="1489"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47.47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63" w:hRule="exact"/>
        </w:trPr>
        <w:tc>
          <w:tcPr>
            <w:tcW w:w="2142"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val="0"/>
                <w:bCs w:val="0"/>
                <w:color w:val="auto"/>
                <w:sz w:val="21"/>
                <w:szCs w:val="21"/>
                <w:highlight w:val="none"/>
              </w:rPr>
            </w:pPr>
            <w:r>
              <w:rPr>
                <w:rFonts w:hint="default" w:ascii="Times New Roman" w:hAnsi="Times New Roman" w:eastAsia="方正仿宋_GBK" w:cs="Times New Roman"/>
                <w:b w:val="0"/>
                <w:bCs w:val="0"/>
                <w:color w:val="auto"/>
                <w:sz w:val="21"/>
                <w:szCs w:val="21"/>
                <w:highlight w:val="none"/>
                <w:lang w:val="en-US" w:eastAsia="zh-CN"/>
              </w:rPr>
              <w:t>宿豫</w:t>
            </w:r>
          </w:p>
        </w:tc>
        <w:tc>
          <w:tcPr>
            <w:tcW w:w="1489"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625</w:t>
            </w:r>
          </w:p>
        </w:tc>
        <w:tc>
          <w:tcPr>
            <w:tcW w:w="148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13.21</w:t>
            </w:r>
          </w:p>
        </w:tc>
        <w:tc>
          <w:tcPr>
            <w:tcW w:w="1489"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3.77</w:t>
            </w:r>
          </w:p>
        </w:tc>
        <w:tc>
          <w:tcPr>
            <w:tcW w:w="1489"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5.66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63" w:hRule="exact"/>
        </w:trPr>
        <w:tc>
          <w:tcPr>
            <w:tcW w:w="2142"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val="0"/>
                <w:bCs w:val="0"/>
                <w:color w:val="auto"/>
                <w:sz w:val="21"/>
                <w:szCs w:val="21"/>
                <w:highlight w:val="none"/>
              </w:rPr>
            </w:pPr>
            <w:r>
              <w:rPr>
                <w:rFonts w:hint="default" w:ascii="Times New Roman" w:hAnsi="Times New Roman" w:eastAsia="方正仿宋_GBK" w:cs="Times New Roman"/>
                <w:b w:val="0"/>
                <w:bCs w:val="0"/>
                <w:color w:val="auto"/>
                <w:sz w:val="21"/>
                <w:szCs w:val="21"/>
                <w:highlight w:val="none"/>
                <w:lang w:val="en-US" w:eastAsia="zh-CN"/>
              </w:rPr>
              <w:t>宿城</w:t>
            </w:r>
          </w:p>
        </w:tc>
        <w:tc>
          <w:tcPr>
            <w:tcW w:w="1489"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1010</w:t>
            </w:r>
          </w:p>
        </w:tc>
        <w:tc>
          <w:tcPr>
            <w:tcW w:w="148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39.58</w:t>
            </w:r>
          </w:p>
        </w:tc>
        <w:tc>
          <w:tcPr>
            <w:tcW w:w="1489"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11.31</w:t>
            </w:r>
          </w:p>
        </w:tc>
        <w:tc>
          <w:tcPr>
            <w:tcW w:w="1489"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16.96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63" w:hRule="exact"/>
        </w:trPr>
        <w:tc>
          <w:tcPr>
            <w:tcW w:w="2142"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val="0"/>
                <w:bCs w:val="0"/>
                <w:color w:val="auto"/>
                <w:sz w:val="21"/>
                <w:szCs w:val="21"/>
                <w:highlight w:val="none"/>
              </w:rPr>
            </w:pPr>
            <w:r>
              <w:rPr>
                <w:rFonts w:hint="default" w:ascii="Times New Roman" w:hAnsi="Times New Roman" w:eastAsia="方正仿宋_GBK" w:cs="Times New Roman"/>
                <w:b w:val="0"/>
                <w:bCs w:val="0"/>
                <w:color w:val="auto"/>
                <w:sz w:val="21"/>
                <w:szCs w:val="21"/>
                <w:highlight w:val="none"/>
                <w:lang w:val="en-US" w:eastAsia="zh-CN"/>
              </w:rPr>
              <w:t>其中增量配电网</w:t>
            </w:r>
          </w:p>
        </w:tc>
        <w:tc>
          <w:tcPr>
            <w:tcW w:w="1489"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52</w:t>
            </w:r>
          </w:p>
        </w:tc>
        <w:tc>
          <w:tcPr>
            <w:tcW w:w="148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2.90</w:t>
            </w:r>
          </w:p>
        </w:tc>
        <w:tc>
          <w:tcPr>
            <w:tcW w:w="1489"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0.83</w:t>
            </w:r>
          </w:p>
        </w:tc>
        <w:tc>
          <w:tcPr>
            <w:tcW w:w="1489"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63" w:hRule="exact"/>
        </w:trPr>
        <w:tc>
          <w:tcPr>
            <w:tcW w:w="2142"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val="0"/>
                <w:bCs w:val="0"/>
                <w:color w:val="auto"/>
                <w:sz w:val="21"/>
                <w:szCs w:val="21"/>
                <w:highlight w:val="none"/>
              </w:rPr>
            </w:pPr>
            <w:r>
              <w:rPr>
                <w:rFonts w:hint="default" w:ascii="Times New Roman" w:hAnsi="Times New Roman" w:eastAsia="方正仿宋_GBK" w:cs="Times New Roman"/>
                <w:b w:val="0"/>
                <w:bCs w:val="0"/>
                <w:color w:val="auto"/>
                <w:sz w:val="21"/>
                <w:szCs w:val="21"/>
                <w:highlight w:val="none"/>
                <w:lang w:val="en-US" w:eastAsia="zh-CN"/>
              </w:rPr>
              <w:t>沭阳</w:t>
            </w:r>
          </w:p>
        </w:tc>
        <w:tc>
          <w:tcPr>
            <w:tcW w:w="1489"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2282</w:t>
            </w:r>
          </w:p>
        </w:tc>
        <w:tc>
          <w:tcPr>
            <w:tcW w:w="148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18.77</w:t>
            </w:r>
          </w:p>
        </w:tc>
        <w:tc>
          <w:tcPr>
            <w:tcW w:w="1489"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5.36</w:t>
            </w:r>
          </w:p>
        </w:tc>
        <w:tc>
          <w:tcPr>
            <w:tcW w:w="1489"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8.04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63" w:hRule="exact"/>
        </w:trPr>
        <w:tc>
          <w:tcPr>
            <w:tcW w:w="2142"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val="0"/>
                <w:bCs w:val="0"/>
                <w:color w:val="auto"/>
                <w:sz w:val="21"/>
                <w:szCs w:val="21"/>
                <w:highlight w:val="none"/>
              </w:rPr>
            </w:pPr>
            <w:r>
              <w:rPr>
                <w:rFonts w:hint="default" w:ascii="Times New Roman" w:hAnsi="Times New Roman" w:eastAsia="方正仿宋_GBK" w:cs="Times New Roman"/>
                <w:b w:val="0"/>
                <w:bCs w:val="0"/>
                <w:color w:val="auto"/>
                <w:sz w:val="21"/>
                <w:szCs w:val="21"/>
                <w:highlight w:val="none"/>
                <w:lang w:val="en-US" w:eastAsia="zh-CN"/>
              </w:rPr>
              <w:t>泗阳</w:t>
            </w:r>
          </w:p>
        </w:tc>
        <w:tc>
          <w:tcPr>
            <w:tcW w:w="1489"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1282</w:t>
            </w:r>
          </w:p>
        </w:tc>
        <w:tc>
          <w:tcPr>
            <w:tcW w:w="148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26.20</w:t>
            </w:r>
          </w:p>
        </w:tc>
        <w:tc>
          <w:tcPr>
            <w:tcW w:w="1489"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7.49</w:t>
            </w:r>
          </w:p>
        </w:tc>
        <w:tc>
          <w:tcPr>
            <w:tcW w:w="1489"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11.23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63" w:hRule="exact"/>
        </w:trPr>
        <w:tc>
          <w:tcPr>
            <w:tcW w:w="2142"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val="0"/>
                <w:bCs w:val="0"/>
                <w:color w:val="auto"/>
                <w:sz w:val="21"/>
                <w:szCs w:val="21"/>
                <w:highlight w:val="none"/>
              </w:rPr>
            </w:pPr>
            <w:r>
              <w:rPr>
                <w:rFonts w:hint="default" w:ascii="Times New Roman" w:hAnsi="Times New Roman" w:eastAsia="方正仿宋_GBK" w:cs="Times New Roman"/>
                <w:b w:val="0"/>
                <w:bCs w:val="0"/>
                <w:color w:val="auto"/>
                <w:sz w:val="21"/>
                <w:szCs w:val="21"/>
                <w:highlight w:val="none"/>
                <w:lang w:val="en-US" w:eastAsia="zh-CN"/>
              </w:rPr>
              <w:t>其中增量配电网</w:t>
            </w:r>
          </w:p>
        </w:tc>
        <w:tc>
          <w:tcPr>
            <w:tcW w:w="1489"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39</w:t>
            </w:r>
          </w:p>
        </w:tc>
        <w:tc>
          <w:tcPr>
            <w:tcW w:w="148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8.14</w:t>
            </w:r>
          </w:p>
        </w:tc>
        <w:tc>
          <w:tcPr>
            <w:tcW w:w="1489"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2.33</w:t>
            </w:r>
          </w:p>
        </w:tc>
        <w:tc>
          <w:tcPr>
            <w:tcW w:w="1489"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3.49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63" w:hRule="exact"/>
        </w:trPr>
        <w:tc>
          <w:tcPr>
            <w:tcW w:w="2142"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val="0"/>
                <w:bCs w:val="0"/>
                <w:color w:val="auto"/>
                <w:sz w:val="21"/>
                <w:szCs w:val="21"/>
                <w:highlight w:val="none"/>
              </w:rPr>
            </w:pPr>
            <w:r>
              <w:rPr>
                <w:rFonts w:hint="default" w:ascii="Times New Roman" w:hAnsi="Times New Roman" w:eastAsia="方正仿宋_GBK" w:cs="Times New Roman"/>
                <w:b w:val="0"/>
                <w:bCs w:val="0"/>
                <w:color w:val="auto"/>
                <w:sz w:val="21"/>
                <w:szCs w:val="21"/>
                <w:highlight w:val="none"/>
                <w:lang w:val="en-US" w:eastAsia="zh-CN"/>
              </w:rPr>
              <w:t>泗洪</w:t>
            </w:r>
          </w:p>
        </w:tc>
        <w:tc>
          <w:tcPr>
            <w:tcW w:w="1489"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908</w:t>
            </w:r>
          </w:p>
        </w:tc>
        <w:tc>
          <w:tcPr>
            <w:tcW w:w="148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13.01</w:t>
            </w:r>
          </w:p>
        </w:tc>
        <w:tc>
          <w:tcPr>
            <w:tcW w:w="1489"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3.72</w:t>
            </w:r>
          </w:p>
        </w:tc>
        <w:tc>
          <w:tcPr>
            <w:tcW w:w="1489"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5.58</w:t>
            </w:r>
          </w:p>
        </w:tc>
      </w:tr>
    </w:tbl>
    <w:p>
      <w:pPr>
        <w:keepNext w:val="0"/>
        <w:keepLines w:val="0"/>
        <w:pageBreakBefore w:val="0"/>
        <w:widowControl w:val="0"/>
        <w:kinsoku/>
        <w:wordWrap/>
        <w:overflowPunct/>
        <w:topLinePunct w:val="0"/>
        <w:autoSpaceDE/>
        <w:autoSpaceDN/>
        <w:bidi w:val="0"/>
        <w:adjustRightInd/>
        <w:snapToGrid/>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本轮休措施充分考虑宿迁地区重点产业链发展，对产业链上下游企业实施分类和分级管理，按比例将产业链上、下游企业分配在不同轮休分组内，保障产业链上下游企业用电生产整体协调，尽量减少对产业链供应链的影响，满足“保供稳链”发展要求。</w:t>
      </w:r>
    </w:p>
    <w:p>
      <w:pPr>
        <w:keepNext w:val="0"/>
        <w:keepLines w:val="0"/>
        <w:pageBreakBefore w:val="0"/>
        <w:widowControl w:val="0"/>
        <w:kinsoku/>
        <w:wordWrap/>
        <w:overflowPunct/>
        <w:topLinePunct w:val="0"/>
        <w:autoSpaceDE/>
        <w:autoSpaceDN/>
        <w:bidi w:val="0"/>
        <w:adjustRightInd/>
        <w:snapToGrid/>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在轮休方案中已充分考虑产业链上下游企业用电生产整体协调，尽量减少对产业链供应链的影响。各单位充分考虑分组，将企业各单位在轮休方案中充分考虑企业轮休上下游关联度，将相关企业进行合理分组，降低对产业链的影响。同时考虑企业个性化需求，如格力大松（宿迁）公司实际生产情况，将其上下游关联企业安排在同一分组进行轮休。宿迁高端纺织产业（“PTA－聚酯－化纤—应用”）、光伏新能源（晶硅光伏制造）、机电装备（动力电池、智能家居等）产业等为全市重点产业，上述地方产业链重点企业安排至电力负荷管理预案后备组，根据需要按比例压降用电负荷，尽量降低轮休对产业链上下游企业产</w:t>
      </w:r>
      <w:r>
        <w:rPr>
          <w:rFonts w:hint="eastAsia" w:ascii="Times New Roman" w:hAnsi="Times New Roman" w:eastAsia="方正仿宋_GBK" w:cs="Times New Roman"/>
          <w:color w:val="auto"/>
          <w:sz w:val="32"/>
          <w:szCs w:val="32"/>
          <w:highlight w:val="none"/>
          <w:lang w:eastAsia="zh-CN"/>
        </w:rPr>
        <w:t>生的</w:t>
      </w:r>
      <w:r>
        <w:rPr>
          <w:rFonts w:hint="default" w:ascii="Times New Roman" w:hAnsi="Times New Roman" w:eastAsia="方正仿宋_GBK" w:cs="Times New Roman"/>
          <w:color w:val="auto"/>
          <w:sz w:val="32"/>
          <w:szCs w:val="32"/>
          <w:highlight w:val="none"/>
        </w:rPr>
        <w:t>影响。</w:t>
      </w:r>
    </w:p>
    <w:p>
      <w:pPr>
        <w:pStyle w:val="22"/>
        <w:pageBreakBefore w:val="0"/>
        <w:kinsoku/>
        <w:wordWrap/>
        <w:overflowPunct/>
        <w:topLinePunct w:val="0"/>
        <w:autoSpaceDE/>
        <w:autoSpaceDN/>
        <w:bidi w:val="0"/>
        <w:adjustRightInd/>
        <w:snapToGrid/>
        <w:spacing w:before="0" w:beforeLines="0" w:after="156"/>
        <w:ind w:firstLine="0" w:firstLineChars="0"/>
        <w:rPr>
          <w:rFonts w:hint="default" w:ascii="Times New Roman" w:hAnsi="Times New Roman" w:eastAsia="黑体" w:cs="Times New Roman"/>
          <w:b w:val="0"/>
          <w:bCs/>
          <w:color w:val="auto"/>
          <w:sz w:val="21"/>
          <w:szCs w:val="21"/>
          <w:highlight w:val="none"/>
        </w:rPr>
      </w:pPr>
      <w:bookmarkStart w:id="99" w:name="_Toc19822"/>
      <w:r>
        <w:rPr>
          <w:rFonts w:hint="default" w:ascii="Times New Roman" w:hAnsi="Times New Roman" w:eastAsia="黑体" w:cs="Times New Roman"/>
          <w:b w:val="0"/>
          <w:bCs/>
          <w:color w:val="auto"/>
          <w:sz w:val="21"/>
          <w:szCs w:val="21"/>
          <w:highlight w:val="none"/>
        </w:rPr>
        <w:t>表1</w:t>
      </w:r>
      <w:r>
        <w:rPr>
          <w:rFonts w:hint="default" w:ascii="Times New Roman" w:hAnsi="Times New Roman" w:eastAsia="黑体" w:cs="Times New Roman"/>
          <w:b w:val="0"/>
          <w:bCs/>
          <w:color w:val="auto"/>
          <w:sz w:val="21"/>
          <w:szCs w:val="21"/>
          <w:highlight w:val="none"/>
          <w:lang w:val="en-US" w:eastAsia="zh-CN"/>
        </w:rPr>
        <w:t>4</w:t>
      </w:r>
      <w:r>
        <w:rPr>
          <w:rFonts w:hint="default" w:ascii="Times New Roman" w:hAnsi="Times New Roman" w:eastAsia="黑体" w:cs="Times New Roman"/>
          <w:b w:val="0"/>
          <w:bCs/>
          <w:color w:val="auto"/>
          <w:sz w:val="21"/>
          <w:szCs w:val="21"/>
          <w:highlight w:val="none"/>
        </w:rPr>
        <w:t>：轮休1-7组 “保五错二”轮休安排表</w:t>
      </w:r>
      <w:bookmarkEnd w:id="99"/>
    </w:p>
    <w:tbl>
      <w:tblPr>
        <w:tblStyle w:val="13"/>
        <w:tblW w:w="79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3"/>
        <w:gridCol w:w="966"/>
        <w:gridCol w:w="966"/>
        <w:gridCol w:w="966"/>
        <w:gridCol w:w="966"/>
        <w:gridCol w:w="966"/>
        <w:gridCol w:w="966"/>
        <w:gridCol w:w="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blHeader/>
        </w:trPr>
        <w:tc>
          <w:tcPr>
            <w:tcW w:w="1153"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周一</w:t>
            </w: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周二</w:t>
            </w: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周三</w:t>
            </w: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周四</w:t>
            </w: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周五</w:t>
            </w: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周六</w:t>
            </w:r>
          </w:p>
        </w:tc>
        <w:tc>
          <w:tcPr>
            <w:tcW w:w="971"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周日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1153"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轮休1组</w:t>
            </w: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休</w:t>
            </w: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休</w:t>
            </w: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71"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1153"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轮休2组</w:t>
            </w: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休</w:t>
            </w: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休</w:t>
            </w: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71"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1153"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轮休3组</w:t>
            </w: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休</w:t>
            </w: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休</w:t>
            </w: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71"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1153"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轮休4组</w:t>
            </w: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休</w:t>
            </w: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休</w:t>
            </w: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71"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1153"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轮休5组</w:t>
            </w: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休</w:t>
            </w: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休</w:t>
            </w:r>
          </w:p>
        </w:tc>
        <w:tc>
          <w:tcPr>
            <w:tcW w:w="971"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1153"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轮休6组</w:t>
            </w: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休</w:t>
            </w:r>
          </w:p>
        </w:tc>
        <w:tc>
          <w:tcPr>
            <w:tcW w:w="971"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1153"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轮休7组</w:t>
            </w: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休</w:t>
            </w: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71"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休</w:t>
            </w:r>
          </w:p>
        </w:tc>
      </w:tr>
    </w:tbl>
    <w:p>
      <w:pPr>
        <w:pStyle w:val="22"/>
        <w:pageBreakBefore w:val="0"/>
        <w:kinsoku/>
        <w:wordWrap/>
        <w:overflowPunct/>
        <w:topLinePunct w:val="0"/>
        <w:autoSpaceDE/>
        <w:autoSpaceDN/>
        <w:bidi w:val="0"/>
        <w:adjustRightInd/>
        <w:snapToGrid/>
        <w:spacing w:before="0" w:beforeLines="0" w:after="156"/>
        <w:ind w:firstLine="0" w:firstLineChars="0"/>
        <w:rPr>
          <w:rFonts w:hint="default" w:ascii="Times New Roman" w:hAnsi="Times New Roman" w:eastAsia="黑体" w:cs="Times New Roman"/>
          <w:b w:val="0"/>
          <w:bCs/>
          <w:color w:val="auto"/>
          <w:sz w:val="21"/>
          <w:szCs w:val="21"/>
          <w:highlight w:val="none"/>
        </w:rPr>
      </w:pPr>
      <w:bookmarkStart w:id="100" w:name="_Toc6577"/>
      <w:r>
        <w:rPr>
          <w:rFonts w:hint="default" w:ascii="Times New Roman" w:hAnsi="Times New Roman" w:eastAsia="黑体" w:cs="Times New Roman"/>
          <w:b w:val="0"/>
          <w:bCs/>
          <w:color w:val="auto"/>
          <w:sz w:val="21"/>
          <w:szCs w:val="21"/>
          <w:highlight w:val="none"/>
        </w:rPr>
        <w:t>表1</w:t>
      </w:r>
      <w:r>
        <w:rPr>
          <w:rFonts w:hint="default" w:ascii="Times New Roman" w:hAnsi="Times New Roman" w:eastAsia="黑体" w:cs="Times New Roman"/>
          <w:b w:val="0"/>
          <w:bCs/>
          <w:color w:val="auto"/>
          <w:sz w:val="21"/>
          <w:szCs w:val="21"/>
          <w:highlight w:val="none"/>
          <w:lang w:val="en-US" w:eastAsia="zh-CN"/>
        </w:rPr>
        <w:t>5</w:t>
      </w:r>
      <w:r>
        <w:rPr>
          <w:rFonts w:hint="default" w:ascii="Times New Roman" w:hAnsi="Times New Roman" w:eastAsia="黑体" w:cs="Times New Roman"/>
          <w:b w:val="0"/>
          <w:bCs/>
          <w:color w:val="auto"/>
          <w:sz w:val="21"/>
          <w:szCs w:val="21"/>
          <w:highlight w:val="none"/>
        </w:rPr>
        <w:t>：轮休1-7组 “保四错三”轮休安排表</w:t>
      </w:r>
      <w:bookmarkEnd w:id="100"/>
    </w:p>
    <w:tbl>
      <w:tblPr>
        <w:tblStyle w:val="13"/>
        <w:tblW w:w="79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965"/>
        <w:gridCol w:w="965"/>
        <w:gridCol w:w="965"/>
        <w:gridCol w:w="965"/>
        <w:gridCol w:w="965"/>
        <w:gridCol w:w="965"/>
        <w:gridCol w:w="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blHeader/>
          <w:jc w:val="center"/>
        </w:trPr>
        <w:tc>
          <w:tcPr>
            <w:tcW w:w="1164"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65"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周一</w:t>
            </w:r>
          </w:p>
        </w:tc>
        <w:tc>
          <w:tcPr>
            <w:tcW w:w="965"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周二</w:t>
            </w:r>
          </w:p>
        </w:tc>
        <w:tc>
          <w:tcPr>
            <w:tcW w:w="965"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周三</w:t>
            </w:r>
          </w:p>
        </w:tc>
        <w:tc>
          <w:tcPr>
            <w:tcW w:w="965"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周四</w:t>
            </w:r>
          </w:p>
        </w:tc>
        <w:tc>
          <w:tcPr>
            <w:tcW w:w="965"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周五</w:t>
            </w:r>
          </w:p>
        </w:tc>
        <w:tc>
          <w:tcPr>
            <w:tcW w:w="965"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周六</w:t>
            </w: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bCs/>
                <w:color w:val="auto"/>
                <w:sz w:val="21"/>
                <w:szCs w:val="21"/>
                <w:highlight w:val="none"/>
              </w:rPr>
            </w:pPr>
            <w:r>
              <w:rPr>
                <w:rFonts w:hint="default" w:ascii="Times New Roman" w:hAnsi="Times New Roman" w:eastAsia="方正仿宋_GBK" w:cs="Times New Roman"/>
                <w:b/>
                <w:bCs/>
                <w:color w:val="auto"/>
                <w:sz w:val="21"/>
                <w:szCs w:val="21"/>
                <w:highlight w:val="none"/>
              </w:rPr>
              <w:t>周日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blHeader/>
          <w:jc w:val="center"/>
        </w:trPr>
        <w:tc>
          <w:tcPr>
            <w:tcW w:w="1164"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轮休1组</w:t>
            </w:r>
          </w:p>
        </w:tc>
        <w:tc>
          <w:tcPr>
            <w:tcW w:w="965"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休</w:t>
            </w:r>
          </w:p>
        </w:tc>
        <w:tc>
          <w:tcPr>
            <w:tcW w:w="965"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休</w:t>
            </w:r>
          </w:p>
        </w:tc>
        <w:tc>
          <w:tcPr>
            <w:tcW w:w="965"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休</w:t>
            </w:r>
          </w:p>
        </w:tc>
        <w:tc>
          <w:tcPr>
            <w:tcW w:w="965"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65"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65"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blHeader/>
          <w:jc w:val="center"/>
        </w:trPr>
        <w:tc>
          <w:tcPr>
            <w:tcW w:w="1164"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轮休2组</w:t>
            </w:r>
          </w:p>
        </w:tc>
        <w:tc>
          <w:tcPr>
            <w:tcW w:w="965"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65"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休</w:t>
            </w:r>
          </w:p>
        </w:tc>
        <w:tc>
          <w:tcPr>
            <w:tcW w:w="965"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休</w:t>
            </w:r>
          </w:p>
        </w:tc>
        <w:tc>
          <w:tcPr>
            <w:tcW w:w="965"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休</w:t>
            </w:r>
          </w:p>
        </w:tc>
        <w:tc>
          <w:tcPr>
            <w:tcW w:w="965"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65"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blHeader/>
          <w:jc w:val="center"/>
        </w:trPr>
        <w:tc>
          <w:tcPr>
            <w:tcW w:w="1164"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轮休3组</w:t>
            </w:r>
          </w:p>
        </w:tc>
        <w:tc>
          <w:tcPr>
            <w:tcW w:w="965"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65"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65"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休</w:t>
            </w:r>
          </w:p>
        </w:tc>
        <w:tc>
          <w:tcPr>
            <w:tcW w:w="965"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休</w:t>
            </w:r>
          </w:p>
        </w:tc>
        <w:tc>
          <w:tcPr>
            <w:tcW w:w="965"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休</w:t>
            </w:r>
          </w:p>
        </w:tc>
        <w:tc>
          <w:tcPr>
            <w:tcW w:w="965"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blHeader/>
          <w:jc w:val="center"/>
        </w:trPr>
        <w:tc>
          <w:tcPr>
            <w:tcW w:w="1164"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轮休4组</w:t>
            </w:r>
          </w:p>
        </w:tc>
        <w:tc>
          <w:tcPr>
            <w:tcW w:w="965"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65"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65"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65"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休</w:t>
            </w:r>
          </w:p>
        </w:tc>
        <w:tc>
          <w:tcPr>
            <w:tcW w:w="965"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休</w:t>
            </w:r>
          </w:p>
        </w:tc>
        <w:tc>
          <w:tcPr>
            <w:tcW w:w="965"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休</w:t>
            </w: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blHeader/>
          <w:jc w:val="center"/>
        </w:trPr>
        <w:tc>
          <w:tcPr>
            <w:tcW w:w="1164"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轮休5组</w:t>
            </w:r>
          </w:p>
        </w:tc>
        <w:tc>
          <w:tcPr>
            <w:tcW w:w="965"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65"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65"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65"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65"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休</w:t>
            </w:r>
          </w:p>
        </w:tc>
        <w:tc>
          <w:tcPr>
            <w:tcW w:w="965"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休</w:t>
            </w: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blHeader/>
          <w:jc w:val="center"/>
        </w:trPr>
        <w:tc>
          <w:tcPr>
            <w:tcW w:w="1164"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轮休6组</w:t>
            </w:r>
          </w:p>
        </w:tc>
        <w:tc>
          <w:tcPr>
            <w:tcW w:w="965"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休</w:t>
            </w:r>
          </w:p>
        </w:tc>
        <w:tc>
          <w:tcPr>
            <w:tcW w:w="965"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65"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65"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65"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65"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休</w:t>
            </w: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blHeader/>
          <w:jc w:val="center"/>
        </w:trPr>
        <w:tc>
          <w:tcPr>
            <w:tcW w:w="1164"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轮休7组</w:t>
            </w:r>
          </w:p>
        </w:tc>
        <w:tc>
          <w:tcPr>
            <w:tcW w:w="965"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休</w:t>
            </w:r>
          </w:p>
        </w:tc>
        <w:tc>
          <w:tcPr>
            <w:tcW w:w="965"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休</w:t>
            </w:r>
          </w:p>
        </w:tc>
        <w:tc>
          <w:tcPr>
            <w:tcW w:w="965"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65"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65"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65"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p>
        </w:tc>
        <w:tc>
          <w:tcPr>
            <w:tcW w:w="966" w:type="dxa"/>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休</w:t>
            </w:r>
          </w:p>
        </w:tc>
      </w:tr>
    </w:tbl>
    <w:p>
      <w:pPr>
        <w:ind w:firstLine="640"/>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4.调休措施</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本措施适用于本地区在极端情</w:t>
      </w:r>
      <w:r>
        <w:rPr>
          <w:rFonts w:hint="eastAsia" w:ascii="Times New Roman" w:hAnsi="Times New Roman" w:eastAsia="方正仿宋_GBK" w:cs="Times New Roman"/>
          <w:color w:val="auto"/>
          <w:sz w:val="32"/>
          <w:szCs w:val="32"/>
          <w:highlight w:val="none"/>
          <w:lang w:eastAsia="zh-CN"/>
        </w:rPr>
        <w:t>况下</w:t>
      </w:r>
      <w:r>
        <w:rPr>
          <w:rFonts w:hint="default" w:ascii="Times New Roman" w:hAnsi="Times New Roman" w:eastAsia="方正仿宋_GBK" w:cs="Times New Roman"/>
          <w:color w:val="auto"/>
          <w:sz w:val="32"/>
          <w:szCs w:val="32"/>
          <w:highlight w:val="none"/>
        </w:rPr>
        <w:t>可能出现的短时较大电力缺口，需紧急控制负荷的情况，可对非连续性生产企业实施调休计划，有效降低工作日高峰时段用电负荷。调休措施纳入了我市主要</w:t>
      </w:r>
      <w:r>
        <w:rPr>
          <w:rFonts w:hint="eastAsia" w:ascii="Times New Roman" w:hAnsi="Times New Roman" w:eastAsia="方正仿宋_GBK" w:cs="Times New Roman"/>
          <w:color w:val="auto"/>
          <w:sz w:val="32"/>
          <w:szCs w:val="32"/>
          <w:highlight w:val="none"/>
          <w:lang w:eastAsia="zh-CN"/>
        </w:rPr>
        <w:t>有序用电（负荷控制）</w:t>
      </w:r>
      <w:r>
        <w:rPr>
          <w:rFonts w:hint="default" w:ascii="Times New Roman" w:hAnsi="Times New Roman" w:eastAsia="方正仿宋_GBK" w:cs="Times New Roman"/>
          <w:color w:val="auto"/>
          <w:sz w:val="32"/>
          <w:szCs w:val="32"/>
          <w:highlight w:val="none"/>
        </w:rPr>
        <w:t>方案中非连续性生产企业用户6</w:t>
      </w:r>
      <w:r>
        <w:rPr>
          <w:rFonts w:hint="eastAsia" w:ascii="Times New Roman" w:hAnsi="Times New Roman" w:eastAsia="方正仿宋_GBK" w:cs="Times New Roman"/>
          <w:color w:val="auto"/>
          <w:sz w:val="32"/>
          <w:szCs w:val="32"/>
          <w:highlight w:val="none"/>
          <w:lang w:val="en-US" w:eastAsia="zh-CN"/>
        </w:rPr>
        <w:t>154</w:t>
      </w:r>
      <w:r>
        <w:rPr>
          <w:rFonts w:hint="default" w:ascii="Times New Roman" w:hAnsi="Times New Roman" w:eastAsia="方正仿宋_GBK" w:cs="Times New Roman"/>
          <w:color w:val="auto"/>
          <w:sz w:val="32"/>
          <w:szCs w:val="32"/>
          <w:highlight w:val="none"/>
        </w:rPr>
        <w:t>户，</w:t>
      </w:r>
      <w:r>
        <w:rPr>
          <w:rFonts w:hint="eastAsia" w:ascii="Times New Roman" w:hAnsi="Times New Roman" w:eastAsia="方正仿宋_GBK" w:cs="Times New Roman"/>
          <w:color w:val="auto"/>
          <w:sz w:val="32"/>
          <w:szCs w:val="32"/>
          <w:highlight w:val="none"/>
          <w:lang w:eastAsia="zh"/>
        </w:rPr>
        <w:t>腰</w:t>
      </w:r>
      <w:r>
        <w:rPr>
          <w:rFonts w:hint="default" w:ascii="Times New Roman" w:hAnsi="Times New Roman" w:eastAsia="方正仿宋_GBK" w:cs="Times New Roman"/>
          <w:color w:val="auto"/>
          <w:sz w:val="32"/>
          <w:szCs w:val="32"/>
          <w:highlight w:val="none"/>
        </w:rPr>
        <w:t>峰</w:t>
      </w:r>
      <w:r>
        <w:rPr>
          <w:rFonts w:hint="eastAsia" w:ascii="Times New Roman" w:hAnsi="Times New Roman" w:eastAsia="方正仿宋_GBK" w:cs="Times New Roman"/>
          <w:color w:val="auto"/>
          <w:sz w:val="32"/>
          <w:szCs w:val="32"/>
          <w:highlight w:val="none"/>
          <w:lang w:eastAsia="zh-CN"/>
        </w:rPr>
        <w:t>最大可调负荷</w:t>
      </w:r>
      <w:r>
        <w:rPr>
          <w:rFonts w:hint="eastAsia" w:ascii="Times New Roman" w:hAnsi="Times New Roman" w:eastAsia="方正仿宋_GBK" w:cs="Times New Roman"/>
          <w:color w:val="auto"/>
          <w:sz w:val="32"/>
          <w:szCs w:val="32"/>
          <w:highlight w:val="none"/>
          <w:lang w:eastAsia="zh"/>
        </w:rPr>
        <w:t>10</w:t>
      </w:r>
      <w:r>
        <w:rPr>
          <w:rFonts w:hint="eastAsia" w:ascii="Times New Roman" w:hAnsi="Times New Roman" w:eastAsia="方正仿宋_GBK" w:cs="Times New Roman"/>
          <w:color w:val="auto"/>
          <w:sz w:val="32"/>
          <w:szCs w:val="32"/>
          <w:highlight w:val="none"/>
          <w:lang w:val="en-US" w:eastAsia="zh-CN"/>
        </w:rPr>
        <w:t>1.97</w:t>
      </w:r>
      <w:r>
        <w:rPr>
          <w:rFonts w:hint="default" w:ascii="Times New Roman" w:hAnsi="Times New Roman" w:eastAsia="方正仿宋_GBK" w:cs="Times New Roman"/>
          <w:color w:val="auto"/>
          <w:sz w:val="32"/>
          <w:szCs w:val="32"/>
          <w:highlight w:val="none"/>
        </w:rPr>
        <w:t>万千瓦。</w:t>
      </w:r>
    </w:p>
    <w:p>
      <w:pPr>
        <w:pStyle w:val="22"/>
        <w:pageBreakBefore w:val="0"/>
        <w:kinsoku/>
        <w:wordWrap/>
        <w:overflowPunct/>
        <w:topLinePunct w:val="0"/>
        <w:autoSpaceDE/>
        <w:autoSpaceDN/>
        <w:bidi w:val="0"/>
        <w:adjustRightInd/>
        <w:snapToGrid/>
        <w:spacing w:before="0" w:beforeLines="0" w:after="156"/>
        <w:ind w:firstLine="0" w:firstLineChars="0"/>
        <w:rPr>
          <w:rFonts w:hint="default" w:ascii="Times New Roman" w:hAnsi="Times New Roman" w:eastAsia="黑体" w:cs="Times New Roman"/>
          <w:b w:val="0"/>
          <w:bCs/>
          <w:color w:val="auto"/>
          <w:sz w:val="21"/>
          <w:szCs w:val="21"/>
          <w:highlight w:val="none"/>
        </w:rPr>
      </w:pPr>
      <w:bookmarkStart w:id="101" w:name="_Toc19909"/>
      <w:r>
        <w:rPr>
          <w:rFonts w:hint="default" w:ascii="Times New Roman" w:hAnsi="Times New Roman" w:eastAsia="黑体" w:cs="Times New Roman"/>
          <w:b w:val="0"/>
          <w:bCs/>
          <w:color w:val="auto"/>
          <w:sz w:val="21"/>
          <w:szCs w:val="21"/>
          <w:highlight w:val="none"/>
        </w:rPr>
        <w:t>表:1</w:t>
      </w:r>
      <w:r>
        <w:rPr>
          <w:rFonts w:hint="default" w:ascii="Times New Roman" w:hAnsi="Times New Roman" w:eastAsia="黑体" w:cs="Times New Roman"/>
          <w:b w:val="0"/>
          <w:bCs/>
          <w:color w:val="auto"/>
          <w:sz w:val="21"/>
          <w:szCs w:val="21"/>
          <w:highlight w:val="none"/>
          <w:lang w:val="en-US" w:eastAsia="zh-CN"/>
        </w:rPr>
        <w:t>6</w:t>
      </w:r>
      <w:r>
        <w:rPr>
          <w:rFonts w:hint="default" w:ascii="Times New Roman" w:hAnsi="Times New Roman" w:eastAsia="黑体" w:cs="Times New Roman"/>
          <w:b w:val="0"/>
          <w:bCs/>
          <w:color w:val="auto"/>
          <w:sz w:val="21"/>
          <w:szCs w:val="21"/>
          <w:highlight w:val="none"/>
        </w:rPr>
        <w:t>：调休措施统计表</w:t>
      </w:r>
      <w:bookmarkEnd w:id="101"/>
    </w:p>
    <w:tbl>
      <w:tblPr>
        <w:tblStyle w:val="13"/>
        <w:tblW w:w="8988"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3759"/>
        <w:gridCol w:w="2614"/>
        <w:gridCol w:w="26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63" w:hRule="exact"/>
          <w:jc w:val="center"/>
        </w:trPr>
        <w:tc>
          <w:tcPr>
            <w:tcW w:w="3759" w:type="dxa"/>
            <w:vMerge w:val="restart"/>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bCs/>
                <w:color w:val="auto"/>
                <w:sz w:val="21"/>
                <w:szCs w:val="21"/>
                <w:highlight w:val="none"/>
                <w:lang w:val="en-US" w:eastAsia="zh-CN"/>
              </w:rPr>
            </w:pPr>
            <w:r>
              <w:rPr>
                <w:rFonts w:hint="default" w:ascii="Times New Roman" w:hAnsi="Times New Roman" w:eastAsia="方正仿宋_GBK" w:cs="Times New Roman"/>
                <w:b/>
                <w:bCs/>
                <w:color w:val="auto"/>
                <w:sz w:val="21"/>
                <w:szCs w:val="21"/>
                <w:highlight w:val="none"/>
                <w:lang w:val="en-US" w:eastAsia="zh-CN"/>
              </w:rPr>
              <w:t>县区</w:t>
            </w:r>
          </w:p>
        </w:tc>
        <w:tc>
          <w:tcPr>
            <w:tcW w:w="2614" w:type="dxa"/>
            <w:vMerge w:val="restart"/>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bCs/>
                <w:color w:val="auto"/>
                <w:sz w:val="21"/>
                <w:szCs w:val="21"/>
                <w:highlight w:val="none"/>
                <w:lang w:val="en-US" w:eastAsia="zh-CN"/>
              </w:rPr>
            </w:pPr>
            <w:r>
              <w:rPr>
                <w:rFonts w:hint="default" w:ascii="Times New Roman" w:hAnsi="Times New Roman" w:eastAsia="方正仿宋_GBK" w:cs="Times New Roman"/>
                <w:b/>
                <w:bCs/>
                <w:color w:val="auto"/>
                <w:sz w:val="21"/>
                <w:szCs w:val="21"/>
                <w:highlight w:val="none"/>
                <w:lang w:val="en-US" w:eastAsia="zh-CN"/>
              </w:rPr>
              <w:t>户数</w:t>
            </w:r>
          </w:p>
        </w:tc>
        <w:tc>
          <w:tcPr>
            <w:tcW w:w="2615" w:type="dxa"/>
            <w:vMerge w:val="restart"/>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bCs/>
                <w:color w:val="auto"/>
                <w:sz w:val="21"/>
                <w:szCs w:val="21"/>
                <w:highlight w:val="none"/>
                <w:lang w:val="en-US" w:eastAsia="zh-CN"/>
              </w:rPr>
            </w:pPr>
            <w:r>
              <w:rPr>
                <w:rFonts w:hint="default" w:ascii="Times New Roman" w:hAnsi="Times New Roman" w:eastAsia="方正仿宋_GBK" w:cs="Times New Roman"/>
                <w:b/>
                <w:bCs/>
                <w:color w:val="auto"/>
                <w:sz w:val="21"/>
                <w:szCs w:val="21"/>
                <w:highlight w:val="none"/>
                <w:lang w:val="en-US" w:eastAsia="zh-CN"/>
              </w:rPr>
              <w:t>总可调节负荷</w:t>
            </w:r>
            <w:r>
              <w:rPr>
                <w:rFonts w:hint="default" w:ascii="Times New Roman" w:hAnsi="Times New Roman" w:eastAsia="方正仿宋_GBK" w:cs="Times New Roman"/>
                <w:b/>
                <w:bCs/>
                <w:color w:val="auto"/>
                <w:sz w:val="21"/>
                <w:szCs w:val="21"/>
                <w:highlight w:val="none"/>
                <w:lang w:val="en-US" w:eastAsia="zh-CN"/>
              </w:rPr>
              <w:br w:type="textWrapping"/>
            </w:r>
            <w:r>
              <w:rPr>
                <w:rFonts w:hint="default" w:ascii="Times New Roman" w:hAnsi="Times New Roman" w:eastAsia="方正仿宋_GBK" w:cs="Times New Roman"/>
                <w:b/>
                <w:bCs/>
                <w:color w:val="auto"/>
                <w:sz w:val="21"/>
                <w:szCs w:val="21"/>
                <w:highlight w:val="none"/>
                <w:lang w:val="en-US" w:eastAsia="zh-CN"/>
              </w:rPr>
              <w:t>（取</w:t>
            </w:r>
            <w:r>
              <w:rPr>
                <w:rFonts w:hint="eastAsia" w:ascii="Times New Roman" w:hAnsi="Times New Roman" w:eastAsia="方正仿宋_GBK" w:cs="Times New Roman"/>
                <w:b/>
                <w:bCs/>
                <w:color w:val="auto"/>
                <w:sz w:val="21"/>
                <w:szCs w:val="21"/>
                <w:highlight w:val="none"/>
                <w:lang w:val="en-US" w:eastAsia="zh"/>
              </w:rPr>
              <w:t>腰</w:t>
            </w:r>
            <w:r>
              <w:rPr>
                <w:rFonts w:hint="default" w:ascii="Times New Roman" w:hAnsi="Times New Roman" w:eastAsia="方正仿宋_GBK" w:cs="Times New Roman"/>
                <w:b/>
                <w:bCs/>
                <w:color w:val="auto"/>
                <w:sz w:val="21"/>
                <w:szCs w:val="21"/>
                <w:highlight w:val="none"/>
                <w:lang w:val="en-US" w:eastAsia="zh-CN"/>
              </w:rPr>
              <w:t>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63" w:hRule="exact"/>
          <w:jc w:val="center"/>
        </w:trPr>
        <w:tc>
          <w:tcPr>
            <w:tcW w:w="3759" w:type="dxa"/>
            <w:vMerge w:val="continue"/>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bCs/>
                <w:color w:val="auto"/>
                <w:sz w:val="21"/>
                <w:szCs w:val="21"/>
                <w:highlight w:val="none"/>
                <w:lang w:val="en-US" w:eastAsia="zh-CN"/>
              </w:rPr>
            </w:pPr>
          </w:p>
        </w:tc>
        <w:tc>
          <w:tcPr>
            <w:tcW w:w="2614" w:type="dxa"/>
            <w:vMerge w:val="continue"/>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bCs/>
                <w:color w:val="auto"/>
                <w:sz w:val="21"/>
                <w:szCs w:val="21"/>
                <w:highlight w:val="none"/>
                <w:lang w:val="en-US" w:eastAsia="zh-CN"/>
              </w:rPr>
            </w:pPr>
          </w:p>
        </w:tc>
        <w:tc>
          <w:tcPr>
            <w:tcW w:w="2615" w:type="dxa"/>
            <w:vMerge w:val="continue"/>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bCs/>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63" w:hRule="exact"/>
          <w:jc w:val="center"/>
        </w:trPr>
        <w:tc>
          <w:tcPr>
            <w:tcW w:w="3759"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default" w:ascii="Times New Roman" w:hAnsi="Times New Roman" w:eastAsia="方正仿宋_GBK" w:cs="Times New Roman"/>
                <w:b w:val="0"/>
                <w:bCs w:val="0"/>
                <w:color w:val="auto"/>
                <w:sz w:val="21"/>
                <w:szCs w:val="21"/>
                <w:highlight w:val="none"/>
                <w:lang w:val="en-US" w:eastAsia="zh-CN"/>
              </w:rPr>
              <w:t>全市</w:t>
            </w:r>
          </w:p>
        </w:tc>
        <w:tc>
          <w:tcPr>
            <w:tcW w:w="261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6154</w:t>
            </w:r>
          </w:p>
        </w:tc>
        <w:tc>
          <w:tcPr>
            <w:tcW w:w="2615"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101.97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63" w:hRule="exact"/>
          <w:jc w:val="center"/>
        </w:trPr>
        <w:tc>
          <w:tcPr>
            <w:tcW w:w="3759"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default" w:ascii="Times New Roman" w:hAnsi="Times New Roman" w:eastAsia="方正仿宋_GBK" w:cs="Times New Roman"/>
                <w:b w:val="0"/>
                <w:bCs w:val="0"/>
                <w:color w:val="auto"/>
                <w:sz w:val="21"/>
                <w:szCs w:val="21"/>
                <w:highlight w:val="none"/>
                <w:lang w:val="en-US" w:eastAsia="zh-CN"/>
              </w:rPr>
              <w:t>宿豫</w:t>
            </w:r>
          </w:p>
        </w:tc>
        <w:tc>
          <w:tcPr>
            <w:tcW w:w="261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655</w:t>
            </w:r>
          </w:p>
        </w:tc>
        <w:tc>
          <w:tcPr>
            <w:tcW w:w="2615"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27.46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63" w:hRule="exact"/>
          <w:jc w:val="center"/>
        </w:trPr>
        <w:tc>
          <w:tcPr>
            <w:tcW w:w="3759"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default" w:ascii="Times New Roman" w:hAnsi="Times New Roman" w:eastAsia="方正仿宋_GBK" w:cs="Times New Roman"/>
                <w:b w:val="0"/>
                <w:bCs w:val="0"/>
                <w:color w:val="auto"/>
                <w:sz w:val="21"/>
                <w:szCs w:val="21"/>
                <w:highlight w:val="none"/>
                <w:lang w:val="en-US" w:eastAsia="zh-CN"/>
              </w:rPr>
              <w:t>宿城</w:t>
            </w:r>
          </w:p>
        </w:tc>
        <w:tc>
          <w:tcPr>
            <w:tcW w:w="261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981</w:t>
            </w:r>
          </w:p>
        </w:tc>
        <w:tc>
          <w:tcPr>
            <w:tcW w:w="2615"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9.41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63" w:hRule="exact"/>
          <w:jc w:val="center"/>
        </w:trPr>
        <w:tc>
          <w:tcPr>
            <w:tcW w:w="3759"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default" w:ascii="Times New Roman" w:hAnsi="Times New Roman" w:eastAsia="方正仿宋_GBK" w:cs="Times New Roman"/>
                <w:b w:val="0"/>
                <w:bCs w:val="0"/>
                <w:color w:val="auto"/>
                <w:sz w:val="21"/>
                <w:szCs w:val="21"/>
                <w:highlight w:val="none"/>
                <w:lang w:val="en-US" w:eastAsia="zh-CN"/>
              </w:rPr>
              <w:t>其中，增量配电网</w:t>
            </w:r>
          </w:p>
        </w:tc>
        <w:tc>
          <w:tcPr>
            <w:tcW w:w="261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17</w:t>
            </w:r>
          </w:p>
        </w:tc>
        <w:tc>
          <w:tcPr>
            <w:tcW w:w="2615"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0.48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63" w:hRule="exact"/>
          <w:jc w:val="center"/>
        </w:trPr>
        <w:tc>
          <w:tcPr>
            <w:tcW w:w="3759"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default" w:ascii="Times New Roman" w:hAnsi="Times New Roman" w:eastAsia="方正仿宋_GBK" w:cs="Times New Roman"/>
                <w:b w:val="0"/>
                <w:bCs w:val="0"/>
                <w:color w:val="auto"/>
                <w:sz w:val="21"/>
                <w:szCs w:val="21"/>
                <w:highlight w:val="none"/>
                <w:lang w:val="en-US" w:eastAsia="zh-CN"/>
              </w:rPr>
              <w:t>沭阳</w:t>
            </w:r>
          </w:p>
        </w:tc>
        <w:tc>
          <w:tcPr>
            <w:tcW w:w="261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2183</w:t>
            </w:r>
          </w:p>
        </w:tc>
        <w:tc>
          <w:tcPr>
            <w:tcW w:w="2615"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24.02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63" w:hRule="exact"/>
          <w:jc w:val="center"/>
        </w:trPr>
        <w:tc>
          <w:tcPr>
            <w:tcW w:w="3759"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default" w:ascii="Times New Roman" w:hAnsi="Times New Roman" w:eastAsia="方正仿宋_GBK" w:cs="Times New Roman"/>
                <w:b w:val="0"/>
                <w:bCs w:val="0"/>
                <w:color w:val="auto"/>
                <w:sz w:val="21"/>
                <w:szCs w:val="21"/>
                <w:highlight w:val="none"/>
                <w:lang w:val="en-US" w:eastAsia="zh-CN"/>
              </w:rPr>
              <w:t>泗阳</w:t>
            </w:r>
          </w:p>
        </w:tc>
        <w:tc>
          <w:tcPr>
            <w:tcW w:w="261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1317</w:t>
            </w:r>
          </w:p>
        </w:tc>
        <w:tc>
          <w:tcPr>
            <w:tcW w:w="2615"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26.93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63" w:hRule="exact"/>
          <w:jc w:val="center"/>
        </w:trPr>
        <w:tc>
          <w:tcPr>
            <w:tcW w:w="3759"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default" w:ascii="Times New Roman" w:hAnsi="Times New Roman" w:eastAsia="方正仿宋_GBK" w:cs="Times New Roman"/>
                <w:b w:val="0"/>
                <w:bCs w:val="0"/>
                <w:color w:val="auto"/>
                <w:sz w:val="21"/>
                <w:szCs w:val="21"/>
                <w:highlight w:val="none"/>
                <w:lang w:val="en-US" w:eastAsia="zh-CN"/>
              </w:rPr>
              <w:t>其中，增量配电网</w:t>
            </w:r>
          </w:p>
        </w:tc>
        <w:tc>
          <w:tcPr>
            <w:tcW w:w="261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40</w:t>
            </w:r>
          </w:p>
        </w:tc>
        <w:tc>
          <w:tcPr>
            <w:tcW w:w="2615"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8.14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63" w:hRule="exact"/>
          <w:jc w:val="center"/>
        </w:trPr>
        <w:tc>
          <w:tcPr>
            <w:tcW w:w="3759"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default" w:ascii="Times New Roman" w:hAnsi="Times New Roman" w:eastAsia="方正仿宋_GBK" w:cs="Times New Roman"/>
                <w:b w:val="0"/>
                <w:bCs w:val="0"/>
                <w:color w:val="auto"/>
                <w:sz w:val="21"/>
                <w:szCs w:val="21"/>
                <w:highlight w:val="none"/>
                <w:lang w:val="en-US" w:eastAsia="zh-CN"/>
              </w:rPr>
              <w:t>泗洪</w:t>
            </w:r>
          </w:p>
        </w:tc>
        <w:tc>
          <w:tcPr>
            <w:tcW w:w="261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1018</w:t>
            </w:r>
          </w:p>
        </w:tc>
        <w:tc>
          <w:tcPr>
            <w:tcW w:w="2615"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14.15</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3" w:firstLineChars="200"/>
        <w:jc w:val="both"/>
        <w:textAlignment w:val="auto"/>
        <w:outlineLvl w:val="9"/>
        <w:rPr>
          <w:rFonts w:hint="default" w:ascii="Times New Roman" w:hAnsi="Times New Roman" w:eastAsia="方正仿宋_GBK" w:cs="Times New Roman"/>
          <w:b/>
          <w:bCs/>
          <w:color w:val="auto"/>
          <w:sz w:val="32"/>
          <w:szCs w:val="32"/>
          <w:highlight w:val="none"/>
          <w:lang w:val="en-US" w:eastAsia="zh-CN"/>
        </w:rPr>
      </w:pPr>
      <w:r>
        <w:rPr>
          <w:rFonts w:hint="default" w:ascii="Times New Roman" w:hAnsi="Times New Roman" w:eastAsia="方正仿宋_GBK" w:cs="Times New Roman"/>
          <w:b/>
          <w:bCs/>
          <w:color w:val="auto"/>
          <w:sz w:val="32"/>
          <w:szCs w:val="32"/>
          <w:highlight w:val="none"/>
          <w:lang w:val="en-US" w:eastAsia="zh-CN"/>
        </w:rPr>
        <w:t>5.集中检修措施</w:t>
      </w:r>
    </w:p>
    <w:p>
      <w:pPr>
        <w:keepNext w:val="0"/>
        <w:keepLines w:val="0"/>
        <w:pageBreakBefore w:val="0"/>
        <w:widowControl w:val="0"/>
        <w:kinsoku/>
        <w:wordWrap/>
        <w:overflowPunct/>
        <w:topLinePunct w:val="0"/>
        <w:bidi w:val="0"/>
        <w:snapToGrid/>
        <w:spacing w:line="560" w:lineRule="exact"/>
        <w:ind w:firstLine="640" w:firstLineChars="200"/>
        <w:textAlignment w:val="auto"/>
        <w:outlineLvl w:val="9"/>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目前全市共计12户冶金、化工等连续性生产企业愿意将集中检修时间定在7月15日至8月20日之间，预计最高</w:t>
      </w:r>
      <w:r>
        <w:rPr>
          <w:rFonts w:hint="eastAsia" w:ascii="Times New Roman" w:hAnsi="Times New Roman" w:eastAsia="方正仿宋_GBK" w:cs="Times New Roman"/>
          <w:color w:val="auto"/>
          <w:sz w:val="32"/>
          <w:szCs w:val="32"/>
          <w:highlight w:val="none"/>
          <w:lang w:val="en-US" w:eastAsia="zh"/>
        </w:rPr>
        <w:t>腰峰</w:t>
      </w:r>
      <w:r>
        <w:rPr>
          <w:rFonts w:hint="eastAsia" w:ascii="Times New Roman" w:hAnsi="Times New Roman" w:eastAsia="方正仿宋_GBK" w:cs="Times New Roman"/>
          <w:color w:val="auto"/>
          <w:sz w:val="32"/>
          <w:szCs w:val="32"/>
          <w:highlight w:val="none"/>
          <w:lang w:val="en-US" w:eastAsia="zh-CN"/>
        </w:rPr>
        <w:t>最大可调负荷</w:t>
      </w:r>
      <w:r>
        <w:rPr>
          <w:rFonts w:hint="eastAsia" w:ascii="Times New Roman" w:hAnsi="Times New Roman" w:eastAsia="方正仿宋_GBK" w:cs="Times New Roman"/>
          <w:color w:val="auto"/>
          <w:sz w:val="32"/>
          <w:szCs w:val="32"/>
          <w:highlight w:val="none"/>
          <w:lang w:val="en-US" w:eastAsia="zh"/>
        </w:rPr>
        <w:t>7.78</w:t>
      </w:r>
      <w:r>
        <w:rPr>
          <w:rFonts w:hint="default" w:ascii="Times New Roman" w:hAnsi="Times New Roman" w:eastAsia="方正仿宋_GBK" w:cs="Times New Roman"/>
          <w:color w:val="auto"/>
          <w:sz w:val="32"/>
          <w:szCs w:val="32"/>
          <w:highlight w:val="none"/>
          <w:lang w:val="en-US" w:eastAsia="zh-CN"/>
        </w:rPr>
        <w:t>万千瓦。客户具体检修时间将根据企业生产情况及电网负荷情况进行调整。</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在采取需求响应、快上快下等措施仍无法实现电力供需平衡时，在严格执行国家、省市级相关条例、法规的前提下，采取</w:t>
      </w:r>
      <w:r>
        <w:rPr>
          <w:rFonts w:hint="eastAsia" w:ascii="Times New Roman" w:hAnsi="Times New Roman" w:eastAsia="方正仿宋_GBK" w:cs="Times New Roman"/>
          <w:color w:val="auto"/>
          <w:sz w:val="32"/>
          <w:szCs w:val="32"/>
          <w:highlight w:val="none"/>
          <w:lang w:eastAsia="zh-CN"/>
        </w:rPr>
        <w:t>有序用电（负荷控制）</w:t>
      </w:r>
      <w:r>
        <w:rPr>
          <w:rFonts w:hint="default" w:ascii="Times New Roman" w:hAnsi="Times New Roman" w:eastAsia="方正仿宋_GBK" w:cs="Times New Roman"/>
          <w:color w:val="auto"/>
          <w:sz w:val="32"/>
          <w:szCs w:val="32"/>
          <w:highlight w:val="none"/>
        </w:rPr>
        <w:t>作为电网安全的最后一道防线。迎峰度夏前完成2000kVA及以上大工业客户分路回路改造及试跳，科学合理设置保安定值。对拒不配合负荷管理，造成电网安全和民生用电受到严重威胁的用户，依照有关要求，利用负荷控制技术手段对其进行刚性执行。</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经过调取我市负控以及用采系统相关数据，结合近两年负控试跳、分路改造相关数据，我市可采取负荷控制措施的用户共</w:t>
      </w:r>
      <w:r>
        <w:rPr>
          <w:rFonts w:hint="eastAsia" w:ascii="Times New Roman" w:hAnsi="Times New Roman" w:eastAsia="方正仿宋_GBK" w:cs="Times New Roman"/>
          <w:color w:val="auto"/>
          <w:sz w:val="32"/>
          <w:szCs w:val="32"/>
          <w:highlight w:val="none"/>
          <w:lang w:val="en-US" w:eastAsia="zh-CN"/>
        </w:rPr>
        <w:t>6046</w:t>
      </w:r>
      <w:r>
        <w:rPr>
          <w:rFonts w:hint="default" w:ascii="Times New Roman" w:hAnsi="Times New Roman" w:eastAsia="方正仿宋_GBK" w:cs="Times New Roman"/>
          <w:color w:val="auto"/>
          <w:sz w:val="32"/>
          <w:szCs w:val="32"/>
          <w:highlight w:val="none"/>
        </w:rPr>
        <w:t>户，</w:t>
      </w:r>
      <w:r>
        <w:rPr>
          <w:rFonts w:hint="eastAsia" w:ascii="Times New Roman" w:hAnsi="Times New Roman" w:eastAsia="方正仿宋_GBK" w:cs="Times New Roman"/>
          <w:color w:val="auto"/>
          <w:sz w:val="32"/>
          <w:szCs w:val="32"/>
          <w:highlight w:val="none"/>
          <w:lang w:eastAsia="zh"/>
        </w:rPr>
        <w:t>腰</w:t>
      </w:r>
      <w:r>
        <w:rPr>
          <w:rFonts w:hint="default" w:ascii="Times New Roman" w:hAnsi="Times New Roman" w:eastAsia="方正仿宋_GBK" w:cs="Times New Roman"/>
          <w:color w:val="auto"/>
          <w:sz w:val="32"/>
          <w:szCs w:val="32"/>
          <w:highlight w:val="none"/>
        </w:rPr>
        <w:t>峰</w:t>
      </w:r>
      <w:r>
        <w:rPr>
          <w:rFonts w:hint="eastAsia" w:ascii="Times New Roman" w:hAnsi="Times New Roman" w:eastAsia="方正仿宋_GBK" w:cs="Times New Roman"/>
          <w:color w:val="auto"/>
          <w:sz w:val="32"/>
          <w:szCs w:val="32"/>
          <w:highlight w:val="none"/>
          <w:lang w:eastAsia="zh-CN"/>
        </w:rPr>
        <w:t>最大可调负荷</w:t>
      </w:r>
      <w:r>
        <w:rPr>
          <w:rFonts w:hint="eastAsia" w:ascii="Times New Roman" w:hAnsi="Times New Roman" w:eastAsia="方正仿宋_GBK" w:cs="Times New Roman"/>
          <w:color w:val="auto"/>
          <w:sz w:val="32"/>
          <w:szCs w:val="32"/>
          <w:highlight w:val="none"/>
          <w:lang w:val="en-US" w:eastAsia="zh-CN"/>
        </w:rPr>
        <w:t>100.47</w:t>
      </w:r>
      <w:r>
        <w:rPr>
          <w:rFonts w:hint="default" w:ascii="Times New Roman" w:hAnsi="Times New Roman" w:eastAsia="方正仿宋_GBK" w:cs="Times New Roman"/>
          <w:color w:val="auto"/>
          <w:sz w:val="32"/>
          <w:szCs w:val="32"/>
          <w:highlight w:val="none"/>
        </w:rPr>
        <w:t>万千瓦。</w:t>
      </w:r>
    </w:p>
    <w:p>
      <w:pPr>
        <w:pStyle w:val="22"/>
        <w:pageBreakBefore w:val="0"/>
        <w:kinsoku/>
        <w:wordWrap/>
        <w:overflowPunct/>
        <w:topLinePunct w:val="0"/>
        <w:autoSpaceDE/>
        <w:autoSpaceDN/>
        <w:bidi w:val="0"/>
        <w:adjustRightInd/>
        <w:snapToGrid/>
        <w:spacing w:before="0" w:beforeLines="0" w:after="156"/>
        <w:ind w:firstLine="0" w:firstLineChars="0"/>
        <w:outlineLvl w:val="9"/>
        <w:rPr>
          <w:rFonts w:hint="default" w:ascii="Times New Roman" w:hAnsi="Times New Roman" w:eastAsia="黑体" w:cs="Times New Roman"/>
          <w:b w:val="0"/>
          <w:bCs/>
          <w:color w:val="auto"/>
          <w:sz w:val="21"/>
          <w:szCs w:val="21"/>
          <w:highlight w:val="none"/>
        </w:rPr>
      </w:pPr>
      <w:bookmarkStart w:id="102" w:name="_Toc18972"/>
      <w:r>
        <w:rPr>
          <w:rFonts w:hint="default" w:ascii="Times New Roman" w:hAnsi="Times New Roman" w:eastAsia="黑体" w:cs="Times New Roman"/>
          <w:b w:val="0"/>
          <w:bCs/>
          <w:color w:val="auto"/>
          <w:sz w:val="21"/>
          <w:szCs w:val="21"/>
          <w:highlight w:val="none"/>
        </w:rPr>
        <w:t>表1</w:t>
      </w:r>
      <w:r>
        <w:rPr>
          <w:rFonts w:hint="eastAsia" w:ascii="Times New Roman" w:hAnsi="Times New Roman" w:cs="Times New Roman"/>
          <w:b w:val="0"/>
          <w:bCs/>
          <w:color w:val="auto"/>
          <w:sz w:val="21"/>
          <w:szCs w:val="21"/>
          <w:highlight w:val="none"/>
          <w:lang w:val="en-US" w:eastAsia="zh-CN"/>
        </w:rPr>
        <w:t>7</w:t>
      </w:r>
      <w:r>
        <w:rPr>
          <w:rFonts w:hint="default" w:ascii="Times New Roman" w:hAnsi="Times New Roman" w:eastAsia="黑体" w:cs="Times New Roman"/>
          <w:b w:val="0"/>
          <w:bCs/>
          <w:color w:val="auto"/>
          <w:sz w:val="21"/>
          <w:szCs w:val="21"/>
          <w:highlight w:val="none"/>
        </w:rPr>
        <w:t>：</w:t>
      </w:r>
      <w:r>
        <w:rPr>
          <w:rFonts w:hint="eastAsia" w:ascii="Times New Roman" w:hAnsi="Times New Roman" w:cs="Times New Roman"/>
          <w:b w:val="0"/>
          <w:bCs/>
          <w:color w:val="auto"/>
          <w:sz w:val="21"/>
          <w:szCs w:val="21"/>
          <w:highlight w:val="none"/>
          <w:lang w:eastAsia="zh-CN"/>
        </w:rPr>
        <w:t>有序用电（负荷控制）</w:t>
      </w:r>
      <w:r>
        <w:rPr>
          <w:rFonts w:hint="default" w:ascii="Times New Roman" w:hAnsi="Times New Roman" w:eastAsia="黑体" w:cs="Times New Roman"/>
          <w:b w:val="0"/>
          <w:bCs/>
          <w:color w:val="auto"/>
          <w:sz w:val="21"/>
          <w:szCs w:val="21"/>
          <w:highlight w:val="none"/>
        </w:rPr>
        <w:t>统计表</w:t>
      </w:r>
      <w:bookmarkEnd w:id="102"/>
    </w:p>
    <w:tbl>
      <w:tblPr>
        <w:tblStyle w:val="13"/>
        <w:tblW w:w="8988"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3759"/>
        <w:gridCol w:w="2614"/>
        <w:gridCol w:w="26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63" w:hRule="exact"/>
          <w:tblHeader/>
          <w:jc w:val="center"/>
        </w:trPr>
        <w:tc>
          <w:tcPr>
            <w:tcW w:w="3759" w:type="dxa"/>
            <w:vMerge w:val="restart"/>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bCs/>
                <w:color w:val="auto"/>
                <w:sz w:val="21"/>
                <w:szCs w:val="21"/>
                <w:highlight w:val="none"/>
                <w:lang w:val="en-US" w:eastAsia="zh-CN"/>
              </w:rPr>
            </w:pPr>
            <w:r>
              <w:rPr>
                <w:rFonts w:hint="default" w:ascii="Times New Roman" w:hAnsi="Times New Roman" w:eastAsia="方正仿宋_GBK" w:cs="Times New Roman"/>
                <w:b/>
                <w:bCs/>
                <w:color w:val="auto"/>
                <w:sz w:val="21"/>
                <w:szCs w:val="21"/>
                <w:highlight w:val="none"/>
                <w:lang w:val="en-US" w:eastAsia="zh-CN"/>
              </w:rPr>
              <w:t>县区</w:t>
            </w:r>
          </w:p>
        </w:tc>
        <w:tc>
          <w:tcPr>
            <w:tcW w:w="2614" w:type="dxa"/>
            <w:vMerge w:val="restart"/>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bCs/>
                <w:color w:val="auto"/>
                <w:sz w:val="21"/>
                <w:szCs w:val="21"/>
                <w:highlight w:val="none"/>
                <w:lang w:val="en-US" w:eastAsia="zh-CN"/>
              </w:rPr>
            </w:pPr>
            <w:r>
              <w:rPr>
                <w:rFonts w:hint="default" w:ascii="Times New Roman" w:hAnsi="Times New Roman" w:eastAsia="方正仿宋_GBK" w:cs="Times New Roman"/>
                <w:b/>
                <w:bCs/>
                <w:color w:val="auto"/>
                <w:sz w:val="21"/>
                <w:szCs w:val="21"/>
                <w:highlight w:val="none"/>
                <w:lang w:val="en-US" w:eastAsia="zh-CN"/>
              </w:rPr>
              <w:t>户数</w:t>
            </w:r>
          </w:p>
        </w:tc>
        <w:tc>
          <w:tcPr>
            <w:tcW w:w="2615" w:type="dxa"/>
            <w:vMerge w:val="restart"/>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bCs/>
                <w:color w:val="auto"/>
                <w:sz w:val="21"/>
                <w:szCs w:val="21"/>
                <w:highlight w:val="none"/>
                <w:lang w:val="en-US" w:eastAsia="zh-CN"/>
              </w:rPr>
            </w:pPr>
            <w:r>
              <w:rPr>
                <w:rFonts w:hint="eastAsia" w:ascii="Times New Roman" w:hAnsi="Times New Roman" w:eastAsia="方正仿宋_GBK" w:cs="Times New Roman"/>
                <w:b/>
                <w:bCs/>
                <w:color w:val="auto"/>
                <w:sz w:val="21"/>
                <w:szCs w:val="21"/>
                <w:highlight w:val="none"/>
                <w:lang w:val="en-US" w:eastAsia="zh-CN"/>
              </w:rPr>
              <w:t>最大可调节负荷</w:t>
            </w:r>
            <w:r>
              <w:rPr>
                <w:rFonts w:hint="default" w:ascii="Times New Roman" w:hAnsi="Times New Roman" w:eastAsia="方正仿宋_GBK" w:cs="Times New Roman"/>
                <w:b/>
                <w:bCs/>
                <w:color w:val="auto"/>
                <w:sz w:val="21"/>
                <w:szCs w:val="21"/>
                <w:highlight w:val="none"/>
                <w:lang w:val="en-US" w:eastAsia="zh-CN"/>
              </w:rPr>
              <w:br w:type="textWrapping"/>
            </w:r>
            <w:r>
              <w:rPr>
                <w:rFonts w:hint="default" w:ascii="Times New Roman" w:hAnsi="Times New Roman" w:eastAsia="方正仿宋_GBK" w:cs="Times New Roman"/>
                <w:b/>
                <w:bCs/>
                <w:color w:val="auto"/>
                <w:sz w:val="21"/>
                <w:szCs w:val="21"/>
                <w:highlight w:val="none"/>
                <w:lang w:val="en-US" w:eastAsia="zh-CN"/>
              </w:rPr>
              <w:t>（取</w:t>
            </w:r>
            <w:r>
              <w:rPr>
                <w:rFonts w:hint="eastAsia" w:ascii="Times New Roman" w:hAnsi="Times New Roman" w:eastAsia="方正仿宋_GBK" w:cs="Times New Roman"/>
                <w:b/>
                <w:bCs/>
                <w:color w:val="auto"/>
                <w:sz w:val="21"/>
                <w:szCs w:val="21"/>
                <w:highlight w:val="none"/>
                <w:lang w:val="en-US" w:eastAsia="zh"/>
              </w:rPr>
              <w:t>腰</w:t>
            </w:r>
            <w:r>
              <w:rPr>
                <w:rFonts w:hint="default" w:ascii="Times New Roman" w:hAnsi="Times New Roman" w:eastAsia="方正仿宋_GBK" w:cs="Times New Roman"/>
                <w:b/>
                <w:bCs/>
                <w:color w:val="auto"/>
                <w:sz w:val="21"/>
                <w:szCs w:val="21"/>
                <w:highlight w:val="none"/>
                <w:lang w:val="en-US" w:eastAsia="zh-CN"/>
              </w:rPr>
              <w:t>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blHeader/>
          <w:jc w:val="center"/>
        </w:trPr>
        <w:tc>
          <w:tcPr>
            <w:tcW w:w="3759" w:type="dxa"/>
            <w:vMerge w:val="continue"/>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bCs/>
                <w:color w:val="auto"/>
                <w:sz w:val="21"/>
                <w:szCs w:val="21"/>
                <w:highlight w:val="none"/>
                <w:lang w:val="en-US" w:eastAsia="zh-CN"/>
              </w:rPr>
            </w:pPr>
          </w:p>
        </w:tc>
        <w:tc>
          <w:tcPr>
            <w:tcW w:w="2614" w:type="dxa"/>
            <w:vMerge w:val="continue"/>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bCs/>
                <w:color w:val="auto"/>
                <w:sz w:val="21"/>
                <w:szCs w:val="21"/>
                <w:highlight w:val="none"/>
                <w:lang w:val="en-US" w:eastAsia="zh-CN"/>
              </w:rPr>
            </w:pPr>
          </w:p>
        </w:tc>
        <w:tc>
          <w:tcPr>
            <w:tcW w:w="2615" w:type="dxa"/>
            <w:vMerge w:val="continue"/>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bCs/>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63" w:hRule="exact"/>
          <w:jc w:val="center"/>
        </w:trPr>
        <w:tc>
          <w:tcPr>
            <w:tcW w:w="3759"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default" w:ascii="Times New Roman" w:hAnsi="Times New Roman" w:eastAsia="方正仿宋_GBK" w:cs="Times New Roman"/>
                <w:b w:val="0"/>
                <w:bCs w:val="0"/>
                <w:color w:val="auto"/>
                <w:sz w:val="21"/>
                <w:szCs w:val="21"/>
                <w:highlight w:val="none"/>
                <w:lang w:val="en-US" w:eastAsia="zh-CN"/>
              </w:rPr>
              <w:t>全市</w:t>
            </w:r>
          </w:p>
        </w:tc>
        <w:tc>
          <w:tcPr>
            <w:tcW w:w="261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6046</w:t>
            </w:r>
          </w:p>
        </w:tc>
        <w:tc>
          <w:tcPr>
            <w:tcW w:w="2615"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100.47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63" w:hRule="exact"/>
          <w:jc w:val="center"/>
        </w:trPr>
        <w:tc>
          <w:tcPr>
            <w:tcW w:w="3759"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default" w:ascii="Times New Roman" w:hAnsi="Times New Roman" w:eastAsia="方正仿宋_GBK" w:cs="Times New Roman"/>
                <w:b w:val="0"/>
                <w:bCs w:val="0"/>
                <w:color w:val="auto"/>
                <w:sz w:val="21"/>
                <w:szCs w:val="21"/>
                <w:highlight w:val="none"/>
                <w:lang w:val="en-US" w:eastAsia="zh-CN"/>
              </w:rPr>
              <w:t>宿豫</w:t>
            </w:r>
          </w:p>
        </w:tc>
        <w:tc>
          <w:tcPr>
            <w:tcW w:w="261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563</w:t>
            </w:r>
          </w:p>
        </w:tc>
        <w:tc>
          <w:tcPr>
            <w:tcW w:w="2615"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20.22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63" w:hRule="exact"/>
          <w:jc w:val="center"/>
        </w:trPr>
        <w:tc>
          <w:tcPr>
            <w:tcW w:w="3759"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default" w:ascii="Times New Roman" w:hAnsi="Times New Roman" w:eastAsia="方正仿宋_GBK" w:cs="Times New Roman"/>
                <w:b w:val="0"/>
                <w:bCs w:val="0"/>
                <w:color w:val="auto"/>
                <w:sz w:val="21"/>
                <w:szCs w:val="21"/>
                <w:highlight w:val="none"/>
                <w:lang w:val="en-US" w:eastAsia="zh-CN"/>
              </w:rPr>
              <w:t>宿城</w:t>
            </w:r>
          </w:p>
        </w:tc>
        <w:tc>
          <w:tcPr>
            <w:tcW w:w="261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939</w:t>
            </w:r>
          </w:p>
        </w:tc>
        <w:tc>
          <w:tcPr>
            <w:tcW w:w="2615"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9.49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63" w:hRule="exact"/>
          <w:jc w:val="center"/>
        </w:trPr>
        <w:tc>
          <w:tcPr>
            <w:tcW w:w="3759"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default" w:ascii="Times New Roman" w:hAnsi="Times New Roman" w:eastAsia="方正仿宋_GBK" w:cs="Times New Roman"/>
                <w:b w:val="0"/>
                <w:bCs w:val="0"/>
                <w:color w:val="auto"/>
                <w:sz w:val="21"/>
                <w:szCs w:val="21"/>
                <w:highlight w:val="none"/>
                <w:lang w:val="en-US" w:eastAsia="zh-CN"/>
              </w:rPr>
              <w:t>其中，增量配电网</w:t>
            </w:r>
          </w:p>
        </w:tc>
        <w:tc>
          <w:tcPr>
            <w:tcW w:w="261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4</w:t>
            </w:r>
          </w:p>
        </w:tc>
        <w:tc>
          <w:tcPr>
            <w:tcW w:w="2615"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63" w:hRule="exact"/>
          <w:jc w:val="center"/>
        </w:trPr>
        <w:tc>
          <w:tcPr>
            <w:tcW w:w="3759"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default" w:ascii="Times New Roman" w:hAnsi="Times New Roman" w:eastAsia="方正仿宋_GBK" w:cs="Times New Roman"/>
                <w:b w:val="0"/>
                <w:bCs w:val="0"/>
                <w:color w:val="auto"/>
                <w:sz w:val="21"/>
                <w:szCs w:val="21"/>
                <w:highlight w:val="none"/>
                <w:lang w:val="en-US" w:eastAsia="zh-CN"/>
              </w:rPr>
              <w:t>沭阳</w:t>
            </w:r>
          </w:p>
        </w:tc>
        <w:tc>
          <w:tcPr>
            <w:tcW w:w="261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2243</w:t>
            </w:r>
          </w:p>
        </w:tc>
        <w:tc>
          <w:tcPr>
            <w:tcW w:w="2615"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26.58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63" w:hRule="exact"/>
          <w:jc w:val="center"/>
        </w:trPr>
        <w:tc>
          <w:tcPr>
            <w:tcW w:w="3759"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default" w:ascii="Times New Roman" w:hAnsi="Times New Roman" w:eastAsia="方正仿宋_GBK" w:cs="Times New Roman"/>
                <w:b w:val="0"/>
                <w:bCs w:val="0"/>
                <w:color w:val="auto"/>
                <w:sz w:val="21"/>
                <w:szCs w:val="21"/>
                <w:highlight w:val="none"/>
                <w:lang w:val="en-US" w:eastAsia="zh-CN"/>
              </w:rPr>
              <w:t>泗阳</w:t>
            </w:r>
          </w:p>
        </w:tc>
        <w:tc>
          <w:tcPr>
            <w:tcW w:w="261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1228</w:t>
            </w:r>
          </w:p>
        </w:tc>
        <w:tc>
          <w:tcPr>
            <w:tcW w:w="2615"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24.29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63" w:hRule="exact"/>
          <w:jc w:val="center"/>
        </w:trPr>
        <w:tc>
          <w:tcPr>
            <w:tcW w:w="3759"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default" w:ascii="Times New Roman" w:hAnsi="Times New Roman" w:eastAsia="方正仿宋_GBK" w:cs="Times New Roman"/>
                <w:b w:val="0"/>
                <w:bCs w:val="0"/>
                <w:color w:val="auto"/>
                <w:sz w:val="21"/>
                <w:szCs w:val="21"/>
                <w:highlight w:val="none"/>
                <w:lang w:val="en-US" w:eastAsia="zh-CN"/>
              </w:rPr>
              <w:t>其中，增量配电网</w:t>
            </w:r>
          </w:p>
        </w:tc>
        <w:tc>
          <w:tcPr>
            <w:tcW w:w="261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34</w:t>
            </w:r>
          </w:p>
        </w:tc>
        <w:tc>
          <w:tcPr>
            <w:tcW w:w="2615"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6.27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63" w:hRule="exact"/>
          <w:jc w:val="center"/>
        </w:trPr>
        <w:tc>
          <w:tcPr>
            <w:tcW w:w="3759"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default" w:ascii="Times New Roman" w:hAnsi="Times New Roman" w:eastAsia="方正仿宋_GBK" w:cs="Times New Roman"/>
                <w:b w:val="0"/>
                <w:bCs w:val="0"/>
                <w:color w:val="auto"/>
                <w:sz w:val="21"/>
                <w:szCs w:val="21"/>
                <w:highlight w:val="none"/>
                <w:lang w:val="en-US" w:eastAsia="zh-CN"/>
              </w:rPr>
              <w:t>泗洪</w:t>
            </w:r>
          </w:p>
        </w:tc>
        <w:tc>
          <w:tcPr>
            <w:tcW w:w="2614"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1073</w:t>
            </w:r>
          </w:p>
        </w:tc>
        <w:tc>
          <w:tcPr>
            <w:tcW w:w="2615"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方正仿宋_GBK" w:cs="Times New Roman"/>
                <w:b w:val="0"/>
                <w:bCs w:val="0"/>
                <w:color w:val="auto"/>
                <w:sz w:val="21"/>
                <w:szCs w:val="21"/>
                <w:highlight w:val="none"/>
                <w:lang w:val="en-US" w:eastAsia="zh-CN"/>
              </w:rPr>
            </w:pPr>
            <w:r>
              <w:rPr>
                <w:rFonts w:hint="eastAsia" w:ascii="Times New Roman" w:hAnsi="Times New Roman" w:eastAsia="方正仿宋_GBK" w:cs="Times New Roman"/>
                <w:b w:val="0"/>
                <w:bCs w:val="0"/>
                <w:color w:val="auto"/>
                <w:sz w:val="21"/>
                <w:szCs w:val="21"/>
                <w:highlight w:val="none"/>
                <w:lang w:val="en-US" w:eastAsia="zh-CN"/>
              </w:rPr>
              <w:t>19.89</w:t>
            </w:r>
          </w:p>
        </w:tc>
      </w:tr>
    </w:tbl>
    <w:p>
      <w:pPr>
        <w:ind w:firstLine="640"/>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lang w:val="en-US" w:eastAsia="zh-CN"/>
        </w:rPr>
        <w:t>7</w:t>
      </w:r>
      <w:r>
        <w:rPr>
          <w:rFonts w:hint="default" w:ascii="Times New Roman" w:hAnsi="Times New Roman" w:eastAsia="方正仿宋_GBK" w:cs="Times New Roman"/>
          <w:b/>
          <w:bCs/>
          <w:color w:val="auto"/>
          <w:sz w:val="32"/>
          <w:szCs w:val="32"/>
          <w:highlight w:val="none"/>
        </w:rPr>
        <w:t>.其他负荷管控措施</w:t>
      </w:r>
    </w:p>
    <w:p>
      <w:pPr>
        <w:ind w:firstLine="640"/>
        <w:rPr>
          <w:rFonts w:hint="default" w:ascii="Times New Roman" w:hAnsi="Times New Roman" w:eastAsia="方正仿宋_GBK" w:cs="Times New Roman"/>
          <w:b/>
          <w:bCs/>
          <w:color w:val="auto"/>
          <w:kern w:val="2"/>
          <w:sz w:val="32"/>
          <w:szCs w:val="32"/>
          <w:highlight w:val="none"/>
          <w:lang w:val="en-US" w:eastAsia="zh-CN" w:bidi="ar-SA"/>
        </w:rPr>
      </w:pPr>
      <w:r>
        <w:rPr>
          <w:rFonts w:hint="default" w:ascii="Times New Roman" w:hAnsi="Times New Roman" w:eastAsia="方正仿宋_GBK" w:cs="Times New Roman"/>
          <w:b/>
          <w:bCs/>
          <w:color w:val="auto"/>
          <w:kern w:val="2"/>
          <w:sz w:val="32"/>
          <w:szCs w:val="32"/>
          <w:highlight w:val="none"/>
          <w:lang w:val="en-US" w:eastAsia="zh-CN" w:bidi="ar-SA"/>
        </w:rPr>
        <w:t>措施1：虚拟电厂</w:t>
      </w:r>
      <w:r>
        <w:rPr>
          <w:rFonts w:hint="eastAsia" w:ascii="Times New Roman" w:hAnsi="Times New Roman" w:eastAsia="方正仿宋_GBK" w:cs="Times New Roman"/>
          <w:b/>
          <w:bCs/>
          <w:color w:val="auto"/>
          <w:kern w:val="2"/>
          <w:sz w:val="32"/>
          <w:szCs w:val="32"/>
          <w:highlight w:val="none"/>
          <w:lang w:val="en-US" w:eastAsia="zh-CN" w:bidi="ar-SA"/>
        </w:rPr>
        <w:t>、微电网等</w:t>
      </w:r>
      <w:r>
        <w:rPr>
          <w:rFonts w:hint="default" w:ascii="Times New Roman" w:hAnsi="Times New Roman" w:eastAsia="方正仿宋_GBK" w:cs="Times New Roman"/>
          <w:b/>
          <w:bCs/>
          <w:color w:val="auto"/>
          <w:kern w:val="2"/>
          <w:sz w:val="32"/>
          <w:szCs w:val="32"/>
          <w:highlight w:val="none"/>
          <w:lang w:val="en-US" w:eastAsia="zh-CN" w:bidi="ar-SA"/>
        </w:rPr>
        <w:t>负荷调控</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3月28日，江苏电力交易中心网站发布《关于2025年第四批受理注册虚拟电厂相关信息的公告》，宿迁运河港配售电有限公司虚拟电厂示范项目顺利完成全省首个配售电主体虚拟电厂注册。该公司</w:t>
      </w:r>
      <w:r>
        <w:rPr>
          <w:rFonts w:hint="default" w:ascii="Times New Roman" w:hAnsi="Times New Roman" w:eastAsia="方正仿宋_GBK" w:cs="Times New Roman"/>
          <w:color w:val="auto"/>
          <w:sz w:val="32"/>
          <w:szCs w:val="32"/>
          <w:highlight w:val="none"/>
          <w:lang w:val="en-US" w:eastAsia="zh-CN"/>
        </w:rPr>
        <w:t>已</w:t>
      </w:r>
      <w:r>
        <w:rPr>
          <w:rFonts w:hint="default" w:ascii="Times New Roman" w:hAnsi="Times New Roman" w:eastAsia="方正仿宋_GBK" w:cs="Times New Roman"/>
          <w:color w:val="auto"/>
          <w:sz w:val="32"/>
          <w:szCs w:val="32"/>
          <w:highlight w:val="none"/>
        </w:rPr>
        <w:t>正式获得参与电力现货交易的“入场资格”。运河港虚拟电厂系统实现对分布式光伏、</w:t>
      </w:r>
      <w:r>
        <w:rPr>
          <w:rFonts w:hint="default" w:ascii="Times New Roman" w:hAnsi="Times New Roman" w:eastAsia="方正仿宋_GBK" w:cs="Times New Roman"/>
          <w:color w:val="auto"/>
          <w:sz w:val="32"/>
          <w:szCs w:val="32"/>
          <w:highlight w:val="none"/>
          <w:lang w:eastAsia="zh-CN"/>
        </w:rPr>
        <w:t>需求侧储能类资源</w:t>
      </w:r>
      <w:r>
        <w:rPr>
          <w:rFonts w:hint="default" w:ascii="Times New Roman" w:hAnsi="Times New Roman" w:eastAsia="方正仿宋_GBK" w:cs="Times New Roman"/>
          <w:color w:val="auto"/>
          <w:sz w:val="32"/>
          <w:szCs w:val="32"/>
          <w:highlight w:val="none"/>
        </w:rPr>
        <w:t>、可调负荷等各类已接入资源的运行监测与聚合分析，目前已聚合分布式光伏2</w:t>
      </w:r>
      <w:r>
        <w:rPr>
          <w:rFonts w:hint="default"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rPr>
        <w:t>6</w:t>
      </w:r>
      <w:r>
        <w:rPr>
          <w:rFonts w:hint="default" w:ascii="Times New Roman" w:hAnsi="Times New Roman" w:eastAsia="方正仿宋_GBK" w:cs="Times New Roman"/>
          <w:color w:val="auto"/>
          <w:sz w:val="32"/>
          <w:szCs w:val="32"/>
          <w:highlight w:val="none"/>
          <w:lang w:val="en-US" w:eastAsia="zh-CN"/>
        </w:rPr>
        <w:t>万千瓦</w:t>
      </w:r>
      <w:r>
        <w:rPr>
          <w:rFonts w:hint="default" w:ascii="Times New Roman" w:hAnsi="Times New Roman" w:eastAsia="方正仿宋_GBK" w:cs="Times New Roman"/>
          <w:color w:val="auto"/>
          <w:sz w:val="32"/>
          <w:szCs w:val="32"/>
          <w:highlight w:val="none"/>
        </w:rPr>
        <w:t>、储能105</w:t>
      </w:r>
      <w:r>
        <w:rPr>
          <w:rFonts w:hint="default" w:ascii="Times New Roman" w:hAnsi="Times New Roman" w:eastAsia="方正仿宋_GBK" w:cs="Times New Roman"/>
          <w:color w:val="auto"/>
          <w:sz w:val="32"/>
          <w:szCs w:val="32"/>
          <w:highlight w:val="none"/>
          <w:lang w:val="en-US" w:eastAsia="zh-CN"/>
        </w:rPr>
        <w:t>千瓦</w:t>
      </w:r>
      <w:r>
        <w:rPr>
          <w:rFonts w:hint="default" w:ascii="Times New Roman" w:hAnsi="Times New Roman" w:eastAsia="方正仿宋_GBK" w:cs="Times New Roman"/>
          <w:color w:val="auto"/>
          <w:sz w:val="32"/>
          <w:szCs w:val="32"/>
          <w:highlight w:val="none"/>
        </w:rPr>
        <w:t>，</w:t>
      </w:r>
      <w:r>
        <w:rPr>
          <w:rFonts w:hint="eastAsia" w:ascii="Times New Roman" w:hAnsi="Times New Roman" w:eastAsia="方正仿宋_GBK" w:cs="Times New Roman"/>
          <w:color w:val="auto"/>
          <w:sz w:val="32"/>
          <w:szCs w:val="32"/>
          <w:highlight w:val="none"/>
          <w:lang w:eastAsia="zh-CN"/>
        </w:rPr>
        <w:t>最大可调节负荷</w:t>
      </w:r>
      <w:r>
        <w:rPr>
          <w:rFonts w:hint="default" w:ascii="Times New Roman" w:hAnsi="Times New Roman" w:eastAsia="方正仿宋_GBK" w:cs="Times New Roman"/>
          <w:color w:val="auto"/>
          <w:sz w:val="32"/>
          <w:szCs w:val="32"/>
          <w:highlight w:val="none"/>
        </w:rPr>
        <w:t>8</w:t>
      </w:r>
      <w:r>
        <w:rPr>
          <w:rFonts w:hint="default" w:ascii="Times New Roman" w:hAnsi="Times New Roman" w:eastAsia="方正仿宋_GBK" w:cs="Times New Roman"/>
          <w:color w:val="auto"/>
          <w:sz w:val="32"/>
          <w:szCs w:val="32"/>
          <w:highlight w:val="none"/>
          <w:lang w:val="en-US" w:eastAsia="zh-CN"/>
        </w:rPr>
        <w:t>万千瓦左右</w:t>
      </w:r>
      <w:r>
        <w:rPr>
          <w:rFonts w:hint="default" w:ascii="Times New Roman" w:hAnsi="Times New Roman" w:eastAsia="方正仿宋_GBK" w:cs="Times New Roman"/>
          <w:color w:val="auto"/>
          <w:sz w:val="32"/>
          <w:szCs w:val="32"/>
          <w:highlight w:val="none"/>
        </w:rPr>
        <w:t>，建成“源网荷储”一体化虚拟电厂平台。年内将继续拓展各类资源，</w:t>
      </w:r>
      <w:r>
        <w:rPr>
          <w:rFonts w:hint="default" w:ascii="Times New Roman" w:hAnsi="Times New Roman" w:eastAsia="方正仿宋_GBK" w:cs="Times New Roman"/>
          <w:color w:val="auto"/>
          <w:sz w:val="32"/>
          <w:szCs w:val="32"/>
          <w:highlight w:val="none"/>
          <w:lang w:val="en-US" w:eastAsia="zh-CN"/>
        </w:rPr>
        <w:t>扩大各类负荷响应资源</w:t>
      </w:r>
      <w:r>
        <w:rPr>
          <w:rFonts w:hint="default" w:ascii="Times New Roman" w:hAnsi="Times New Roman" w:eastAsia="方正仿宋_GBK" w:cs="Times New Roman"/>
          <w:color w:val="auto"/>
          <w:sz w:val="32"/>
          <w:szCs w:val="32"/>
          <w:highlight w:val="none"/>
        </w:rPr>
        <w:t xml:space="preserve">，并组织参与省内现货交易、辅助服务、需求响应等业务，有效助力宿迁市电力保供、新能源消纳和绿色经济发展。   </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微电网负荷调节措施</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宿迁公司目前推进了24个微电网项目，其中已投运智能微电网项目3个，可调负荷3万千瓦左右。具备初始微电网元素项目9个，6月底前完成9个初始微电网项目接入能源管理系统及新型负荷电力系统。年底前完成剩余12个微电网项目元素建设、系统接入。</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客户侧储能调节</w:t>
      </w:r>
      <w:r>
        <w:rPr>
          <w:rFonts w:hint="eastAsia" w:ascii="Times New Roman" w:hAnsi="Times New Roman" w:eastAsia="方正仿宋_GBK" w:cs="Times New Roman"/>
          <w:color w:val="auto"/>
          <w:sz w:val="32"/>
          <w:szCs w:val="32"/>
          <w:highlight w:val="none"/>
          <w:lang w:val="en-US" w:eastAsia="zh-CN"/>
        </w:rPr>
        <w:t>措施。</w:t>
      </w:r>
      <w:r>
        <w:rPr>
          <w:rFonts w:hint="default" w:ascii="Times New Roman" w:hAnsi="Times New Roman" w:eastAsia="方正仿宋_GBK" w:cs="Times New Roman"/>
          <w:color w:val="auto"/>
          <w:sz w:val="32"/>
          <w:szCs w:val="32"/>
          <w:highlight w:val="none"/>
        </w:rPr>
        <w:t>潜力客户侧储能调节方面，对桐昆、惠然、天合、百威啤酒等12户需求侧储能负荷进行调控，根据电力缺口时段修改放电时间，可削减负荷3万千瓦左右。</w:t>
      </w:r>
    </w:p>
    <w:p>
      <w:pPr>
        <w:ind w:firstLine="640"/>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措施</w:t>
      </w:r>
      <w:r>
        <w:rPr>
          <w:rFonts w:hint="default" w:ascii="Times New Roman" w:hAnsi="Times New Roman" w:eastAsia="方正仿宋_GBK" w:cs="Times New Roman"/>
          <w:b/>
          <w:bCs/>
          <w:color w:val="auto"/>
          <w:sz w:val="32"/>
          <w:szCs w:val="32"/>
          <w:highlight w:val="none"/>
          <w:lang w:val="en-US" w:eastAsia="zh-CN"/>
        </w:rPr>
        <w:t>2</w:t>
      </w:r>
      <w:r>
        <w:rPr>
          <w:rFonts w:hint="default" w:ascii="Times New Roman" w:hAnsi="Times New Roman" w:eastAsia="方正仿宋_GBK" w:cs="Times New Roman"/>
          <w:b/>
          <w:bCs/>
          <w:color w:val="auto"/>
          <w:sz w:val="32"/>
          <w:szCs w:val="32"/>
          <w:highlight w:val="none"/>
        </w:rPr>
        <w:t>：空调负荷调节措施</w:t>
      </w:r>
    </w:p>
    <w:p>
      <w:pPr>
        <w:ind w:firstLine="640"/>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（1）空调负荷资源概况</w:t>
      </w:r>
    </w:p>
    <w:p>
      <w:pPr>
        <w:keepNext w:val="0"/>
        <w:keepLines w:val="0"/>
        <w:pageBreakBefore w:val="0"/>
        <w:widowControl w:val="0"/>
        <w:kinsoku/>
        <w:wordWrap/>
        <w:overflowPunct/>
        <w:topLinePunct w:val="0"/>
        <w:autoSpaceDE/>
        <w:autoSpaceDN/>
        <w:bidi w:val="0"/>
        <w:adjustRightInd/>
        <w:snapToGrid/>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202</w:t>
      </w:r>
      <w:r>
        <w:rPr>
          <w:rFonts w:hint="default" w:ascii="Times New Roman" w:hAnsi="Times New Roman" w:eastAsia="方正仿宋_GBK" w:cs="Times New Roman"/>
          <w:color w:val="auto"/>
          <w:sz w:val="32"/>
          <w:szCs w:val="32"/>
          <w:highlight w:val="none"/>
          <w:lang w:val="en-US" w:eastAsia="zh-CN"/>
        </w:rPr>
        <w:t>4</w:t>
      </w:r>
      <w:r>
        <w:rPr>
          <w:rFonts w:hint="default" w:ascii="Times New Roman" w:hAnsi="Times New Roman" w:eastAsia="方正仿宋_GBK" w:cs="Times New Roman"/>
          <w:color w:val="auto"/>
          <w:sz w:val="32"/>
          <w:szCs w:val="32"/>
          <w:highlight w:val="none"/>
        </w:rPr>
        <w:t>年夏季，宿迁最高空调负荷出现在8月</w:t>
      </w:r>
      <w:r>
        <w:rPr>
          <w:rFonts w:hint="default" w:ascii="Times New Roman" w:hAnsi="Times New Roman" w:eastAsia="方正仿宋_GBK" w:cs="Times New Roman"/>
          <w:color w:val="auto"/>
          <w:sz w:val="32"/>
          <w:szCs w:val="32"/>
          <w:highlight w:val="none"/>
          <w:lang w:val="en-US" w:eastAsia="zh-CN"/>
        </w:rPr>
        <w:t>5</w:t>
      </w:r>
      <w:r>
        <w:rPr>
          <w:rFonts w:hint="default" w:ascii="Times New Roman" w:hAnsi="Times New Roman" w:eastAsia="方正仿宋_GBK" w:cs="Times New Roman"/>
          <w:color w:val="auto"/>
          <w:sz w:val="32"/>
          <w:szCs w:val="32"/>
          <w:highlight w:val="none"/>
        </w:rPr>
        <w:t>日，当日最大空调负荷发生在1</w:t>
      </w:r>
      <w:r>
        <w:rPr>
          <w:rFonts w:hint="default" w:ascii="Times New Roman" w:hAnsi="Times New Roman"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45</w:t>
      </w:r>
      <w:r>
        <w:rPr>
          <w:rFonts w:hint="default" w:ascii="Times New Roman" w:hAnsi="Times New Roman" w:eastAsia="方正仿宋_GBK" w:cs="Times New Roman"/>
          <w:color w:val="auto"/>
          <w:sz w:val="32"/>
          <w:szCs w:val="32"/>
          <w:highlight w:val="none"/>
        </w:rPr>
        <w:t>，全市空调负荷</w:t>
      </w:r>
      <w:r>
        <w:rPr>
          <w:rFonts w:hint="default" w:ascii="Times New Roman" w:hAnsi="Times New Roman" w:eastAsia="方正仿宋_GBK" w:cs="Times New Roman"/>
          <w:color w:val="auto"/>
          <w:sz w:val="32"/>
          <w:szCs w:val="32"/>
          <w:highlight w:val="none"/>
          <w:lang w:val="en-US" w:eastAsia="zh-CN"/>
        </w:rPr>
        <w:t>约</w:t>
      </w:r>
      <w:r>
        <w:rPr>
          <w:rFonts w:hint="default" w:ascii="Times New Roman" w:hAnsi="Times New Roman" w:eastAsia="方正仿宋_GBK" w:cs="Times New Roman"/>
          <w:color w:val="auto"/>
          <w:sz w:val="32"/>
          <w:szCs w:val="32"/>
          <w:highlight w:val="none"/>
        </w:rPr>
        <w:t>2</w:t>
      </w:r>
      <w:r>
        <w:rPr>
          <w:rFonts w:hint="default" w:ascii="Times New Roman" w:hAnsi="Times New Roman" w:eastAsia="方正仿宋_GBK" w:cs="Times New Roman"/>
          <w:color w:val="auto"/>
          <w:sz w:val="32"/>
          <w:szCs w:val="32"/>
          <w:highlight w:val="none"/>
          <w:lang w:val="en-US" w:eastAsia="zh-CN"/>
        </w:rPr>
        <w:t>00</w:t>
      </w:r>
      <w:r>
        <w:rPr>
          <w:rFonts w:hint="default" w:ascii="Times New Roman" w:hAnsi="Times New Roman" w:eastAsia="方正仿宋_GBK" w:cs="Times New Roman"/>
          <w:color w:val="auto"/>
          <w:sz w:val="32"/>
          <w:szCs w:val="32"/>
          <w:highlight w:val="none"/>
        </w:rPr>
        <w:t>万千瓦，空调负荷是推高全网负荷的重要因素，调控潜力较大。对空调负荷实施有效监测和优化管理是最小代价、最优探索、最可持续的负荷管理举措，既能保障电网安全稳定运行，又能统筹实现“保供电、保经济”的双侧目标。</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202</w:t>
      </w:r>
      <w:r>
        <w:rPr>
          <w:rFonts w:hint="default" w:ascii="Times New Roman" w:hAnsi="Times New Roman" w:eastAsia="方正仿宋_GBK" w:cs="Times New Roman"/>
          <w:color w:val="auto"/>
          <w:sz w:val="32"/>
          <w:szCs w:val="32"/>
          <w:highlight w:val="none"/>
          <w:lang w:val="en-US" w:eastAsia="zh-CN"/>
        </w:rPr>
        <w:t>5</w:t>
      </w:r>
      <w:r>
        <w:rPr>
          <w:rFonts w:hint="default" w:ascii="Times New Roman" w:hAnsi="Times New Roman" w:eastAsia="方正仿宋_GBK" w:cs="Times New Roman"/>
          <w:color w:val="auto"/>
          <w:sz w:val="32"/>
          <w:szCs w:val="32"/>
          <w:highlight w:val="none"/>
        </w:rPr>
        <w:t>年宿迁将优先启动空调负荷</w:t>
      </w:r>
      <w:r>
        <w:rPr>
          <w:rFonts w:hint="default" w:ascii="Times New Roman" w:hAnsi="Times New Roman" w:eastAsia="方正仿宋_GBK" w:cs="Times New Roman"/>
          <w:color w:val="auto"/>
          <w:sz w:val="32"/>
          <w:szCs w:val="32"/>
          <w:highlight w:val="none"/>
          <w:lang w:val="en-US" w:eastAsia="zh-CN"/>
        </w:rPr>
        <w:t>调节</w:t>
      </w:r>
      <w:r>
        <w:rPr>
          <w:rFonts w:hint="default" w:ascii="Times New Roman" w:hAnsi="Times New Roman" w:eastAsia="方正仿宋_GBK" w:cs="Times New Roman"/>
          <w:color w:val="auto"/>
          <w:sz w:val="32"/>
          <w:szCs w:val="32"/>
          <w:highlight w:val="none"/>
        </w:rPr>
        <w:t>。在有</w:t>
      </w:r>
      <w:r>
        <w:rPr>
          <w:rFonts w:hint="default" w:ascii="Times New Roman" w:hAnsi="Times New Roman" w:eastAsia="方正仿宋_GBK" w:cs="Times New Roman"/>
          <w:color w:val="auto"/>
          <w:sz w:val="32"/>
          <w:szCs w:val="32"/>
          <w:highlight w:val="none"/>
          <w:lang w:eastAsia="zh-CN"/>
        </w:rPr>
        <w:t>电力缺口</w:t>
      </w:r>
      <w:r>
        <w:rPr>
          <w:rFonts w:hint="default" w:ascii="Times New Roman" w:hAnsi="Times New Roman" w:eastAsia="方正仿宋_GBK" w:cs="Times New Roman"/>
          <w:color w:val="auto"/>
          <w:sz w:val="32"/>
          <w:szCs w:val="32"/>
          <w:highlight w:val="none"/>
        </w:rPr>
        <w:t>的情况下，优先启动</w:t>
      </w:r>
      <w:r>
        <w:rPr>
          <w:rFonts w:hint="default" w:ascii="Times New Roman" w:hAnsi="Times New Roman" w:eastAsia="方正仿宋_GBK" w:cs="Times New Roman"/>
          <w:color w:val="auto"/>
          <w:sz w:val="32"/>
          <w:szCs w:val="32"/>
          <w:highlight w:val="none"/>
          <w:lang w:eastAsia="zh-CN"/>
        </w:rPr>
        <w:t>空调负荷调节</w:t>
      </w:r>
      <w:r>
        <w:rPr>
          <w:rFonts w:hint="default" w:ascii="Times New Roman" w:hAnsi="Times New Roman" w:eastAsia="方正仿宋_GBK" w:cs="Times New Roman"/>
          <w:color w:val="auto"/>
          <w:sz w:val="32"/>
          <w:szCs w:val="32"/>
          <w:highlight w:val="none"/>
        </w:rPr>
        <w:t>，对可调节空调负荷应纳尽纳，全力保障地方经济正常生产。对全市电压等级10kV级以上的党政机关、公共机构、商业综合体、酒店餐饮、企事业单位、工业等空调负荷资源进行集中管理，</w:t>
      </w:r>
      <w:r>
        <w:rPr>
          <w:rFonts w:hint="default" w:ascii="Times New Roman" w:hAnsi="Times New Roman" w:eastAsia="方正仿宋_GBK" w:cs="Times New Roman"/>
          <w:color w:val="auto"/>
          <w:sz w:val="32"/>
          <w:szCs w:val="32"/>
          <w:highlight w:val="none"/>
          <w:lang w:val="en-US" w:eastAsia="zh-CN"/>
        </w:rPr>
        <w:t>将已进行过空调分路改造、实时需求响应建设、智慧调控能力建设等楼宇</w:t>
      </w:r>
      <w:r>
        <w:rPr>
          <w:rFonts w:hint="default" w:ascii="Times New Roman" w:hAnsi="Times New Roman" w:eastAsia="方正仿宋_GBK" w:cs="Times New Roman"/>
          <w:color w:val="auto"/>
          <w:sz w:val="32"/>
          <w:szCs w:val="32"/>
          <w:highlight w:val="none"/>
        </w:rPr>
        <w:t>接入新型电力负荷管理系统集中监控。此外，将宿迁供电公司各级变电站、配电站内的空调（主要为分体式柜机、挂机）进行集中监测，负荷约为1.5万千瓦，可调节量约为0.4万千瓦，作为紧急情况下补备措施。</w:t>
      </w:r>
    </w:p>
    <w:p>
      <w:pPr>
        <w:ind w:left="0" w:leftChars="0" w:firstLine="643" w:firstLineChars="200"/>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lang w:eastAsia="zh-CN"/>
        </w:rPr>
        <w:t>（</w:t>
      </w:r>
      <w:r>
        <w:rPr>
          <w:rFonts w:hint="default" w:ascii="Times New Roman" w:hAnsi="Times New Roman" w:eastAsia="方正仿宋_GBK" w:cs="Times New Roman"/>
          <w:b/>
          <w:bCs/>
          <w:color w:val="auto"/>
          <w:sz w:val="32"/>
          <w:szCs w:val="32"/>
          <w:highlight w:val="none"/>
        </w:rPr>
        <w:t>2</w:t>
      </w:r>
      <w:r>
        <w:rPr>
          <w:rFonts w:hint="default" w:ascii="Times New Roman" w:hAnsi="Times New Roman" w:eastAsia="方正仿宋_GBK" w:cs="Times New Roman"/>
          <w:b/>
          <w:bCs/>
          <w:color w:val="auto"/>
          <w:sz w:val="32"/>
          <w:szCs w:val="32"/>
          <w:highlight w:val="none"/>
          <w:lang w:eastAsia="zh-CN"/>
        </w:rPr>
        <w:t>）</w:t>
      </w:r>
      <w:r>
        <w:rPr>
          <w:rFonts w:hint="default" w:ascii="Times New Roman" w:hAnsi="Times New Roman" w:eastAsia="方正仿宋_GBK" w:cs="Times New Roman"/>
          <w:b/>
          <w:bCs/>
          <w:color w:val="auto"/>
          <w:sz w:val="32"/>
          <w:szCs w:val="32"/>
          <w:highlight w:val="none"/>
        </w:rPr>
        <w:t>空调负荷调控能力情况</w:t>
      </w:r>
    </w:p>
    <w:p>
      <w:pPr>
        <w:numPr>
          <w:ilvl w:val="0"/>
          <w:numId w:val="0"/>
        </w:numPr>
        <w:ind w:left="560" w:leftChars="0"/>
        <w:rPr>
          <w:rFonts w:hint="default" w:ascii="Times New Roman" w:hAnsi="Times New Roman" w:eastAsia="方正仿宋_GBK" w:cs="Times New Roman"/>
          <w:b/>
          <w:bCs/>
          <w:color w:val="auto"/>
          <w:sz w:val="32"/>
          <w:szCs w:val="32"/>
          <w:highlight w:val="none"/>
          <w:lang w:val="en-US" w:eastAsia="zh-CN"/>
        </w:rPr>
      </w:pPr>
      <w:r>
        <w:rPr>
          <w:rFonts w:hint="default" w:ascii="Times New Roman" w:hAnsi="Times New Roman" w:eastAsia="方正仿宋_GBK" w:cs="Times New Roman"/>
          <w:b/>
          <w:bCs/>
          <w:color w:val="auto"/>
          <w:sz w:val="32"/>
          <w:szCs w:val="32"/>
          <w:highlight w:val="none"/>
          <w:lang w:val="en-US" w:eastAsia="zh-CN"/>
        </w:rPr>
        <w:t>1）重点管控楼宇</w:t>
      </w:r>
    </w:p>
    <w:p>
      <w:pPr>
        <w:pStyle w:val="2"/>
        <w:rPr>
          <w:rFonts w:hint="default" w:ascii="Times New Roman" w:hAnsi="Times New Roman" w:eastAsia="方正仿宋_GBK" w:cs="Times New Roman"/>
          <w:color w:val="auto"/>
          <w:kern w:val="2"/>
          <w:sz w:val="32"/>
          <w:szCs w:val="32"/>
          <w:highlight w:val="none"/>
          <w:lang w:val="en-US" w:eastAsia="zh-CN" w:bidi="ar-SA"/>
        </w:rPr>
      </w:pPr>
      <w:r>
        <w:rPr>
          <w:rFonts w:hint="default" w:ascii="Times New Roman" w:hAnsi="Times New Roman" w:eastAsia="方正仿宋_GBK" w:cs="Times New Roman"/>
          <w:color w:val="auto"/>
          <w:kern w:val="2"/>
          <w:sz w:val="32"/>
          <w:szCs w:val="32"/>
          <w:highlight w:val="none"/>
          <w:lang w:val="en-US" w:eastAsia="zh-CN" w:bidi="ar-SA"/>
        </w:rPr>
        <w:t>对2024年建成的94栋非工空调智慧调控设备进行运维消缺，确保设备在线，迎峰度夏最大可调潜力力争达到1万千瓦以上。</w:t>
      </w:r>
    </w:p>
    <w:p>
      <w:pPr>
        <w:rPr>
          <w:rFonts w:hint="default" w:ascii="Times New Roman" w:hAnsi="Times New Roman" w:eastAsia="方正仿宋_GBK" w:cs="Times New Roman"/>
          <w:b/>
          <w:bCs/>
          <w:color w:val="auto"/>
          <w:sz w:val="32"/>
          <w:szCs w:val="32"/>
          <w:highlight w:val="none"/>
          <w:lang w:val="en-US" w:eastAsia="zh-CN"/>
        </w:rPr>
      </w:pPr>
      <w:r>
        <w:rPr>
          <w:rFonts w:hint="default" w:ascii="Times New Roman" w:hAnsi="Times New Roman" w:eastAsia="方正仿宋_GBK" w:cs="Times New Roman"/>
          <w:b/>
          <w:bCs/>
          <w:color w:val="auto"/>
          <w:sz w:val="32"/>
          <w:szCs w:val="32"/>
          <w:highlight w:val="none"/>
          <w:lang w:val="en-US" w:eastAsia="zh-CN"/>
        </w:rPr>
        <w:t>2）其他非工空调资源</w:t>
      </w:r>
    </w:p>
    <w:p>
      <w:pPr>
        <w:pStyle w:val="2"/>
        <w:rPr>
          <w:rFonts w:hint="default" w:ascii="Times New Roman" w:hAnsi="Times New Roman" w:eastAsia="方正仿宋_GBK" w:cs="Times New Roman"/>
          <w:color w:val="auto"/>
          <w:kern w:val="2"/>
          <w:sz w:val="32"/>
          <w:szCs w:val="32"/>
          <w:highlight w:val="none"/>
          <w:lang w:val="en-US" w:eastAsia="zh-CN" w:bidi="ar-SA"/>
        </w:rPr>
      </w:pPr>
      <w:r>
        <w:rPr>
          <w:rFonts w:hint="default" w:ascii="Times New Roman" w:hAnsi="Times New Roman" w:eastAsia="方正仿宋_GBK" w:cs="Times New Roman"/>
          <w:color w:val="auto"/>
          <w:kern w:val="2"/>
          <w:sz w:val="32"/>
          <w:szCs w:val="32"/>
          <w:highlight w:val="none"/>
          <w:lang w:val="en-US" w:eastAsia="zh-CN" w:bidi="ar-SA"/>
        </w:rPr>
        <w:t>梳理非重点管控楼宇用户共计599户，根据单户空调负荷计算规则测算总体可调负荷，由于此类用户技术层面无法改造，同时部分用户单户空调负荷不足200千瓦，统一建组监测负荷情况，同时明确通知人员、督导人员。</w:t>
      </w:r>
    </w:p>
    <w:p>
      <w:pPr>
        <w:numPr>
          <w:ilvl w:val="0"/>
          <w:numId w:val="0"/>
        </w:numPr>
        <w:ind w:left="560" w:leftChars="0"/>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lang w:eastAsia="zh-CN"/>
        </w:rPr>
        <w:t>（</w:t>
      </w:r>
      <w:r>
        <w:rPr>
          <w:rFonts w:hint="default" w:ascii="Times New Roman" w:hAnsi="Times New Roman" w:eastAsia="方正仿宋_GBK" w:cs="Times New Roman"/>
          <w:b/>
          <w:bCs/>
          <w:color w:val="auto"/>
          <w:sz w:val="32"/>
          <w:szCs w:val="32"/>
          <w:highlight w:val="none"/>
          <w:lang w:val="en-US" w:eastAsia="zh-CN"/>
        </w:rPr>
        <w:t>3</w:t>
      </w:r>
      <w:r>
        <w:rPr>
          <w:rFonts w:hint="default" w:ascii="Times New Roman" w:hAnsi="Times New Roman" w:eastAsia="方正仿宋_GBK" w:cs="Times New Roman"/>
          <w:b/>
          <w:bCs/>
          <w:color w:val="auto"/>
          <w:sz w:val="32"/>
          <w:szCs w:val="32"/>
          <w:highlight w:val="none"/>
          <w:lang w:eastAsia="zh-CN"/>
        </w:rPr>
        <w:t>）</w:t>
      </w:r>
      <w:r>
        <w:rPr>
          <w:rFonts w:hint="default" w:ascii="Times New Roman" w:hAnsi="Times New Roman" w:eastAsia="方正仿宋_GBK" w:cs="Times New Roman"/>
          <w:b/>
          <w:bCs/>
          <w:color w:val="auto"/>
          <w:sz w:val="32"/>
          <w:szCs w:val="32"/>
          <w:highlight w:val="none"/>
        </w:rPr>
        <w:t>空调资源调控方式</w:t>
      </w:r>
    </w:p>
    <w:p>
      <w:pPr>
        <w:ind w:firstLine="640"/>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1）行政指令调节</w:t>
      </w:r>
    </w:p>
    <w:p>
      <w:pPr>
        <w:ind w:firstLine="640"/>
        <w:rPr>
          <w:rFonts w:hint="eastAsia" w:ascii="Times New Roman" w:hAnsi="Times New Roman" w:eastAsia="方正仿宋_GBK" w:cs="Times New Roman"/>
          <w:color w:val="auto"/>
          <w:sz w:val="32"/>
          <w:szCs w:val="32"/>
          <w:highlight w:val="none"/>
          <w:lang w:eastAsia="zh-CN"/>
        </w:rPr>
      </w:pPr>
      <w:r>
        <w:rPr>
          <w:rFonts w:hint="default" w:ascii="Times New Roman" w:hAnsi="Times New Roman" w:eastAsia="方正仿宋_GBK" w:cs="Times New Roman"/>
          <w:color w:val="auto"/>
          <w:sz w:val="32"/>
          <w:szCs w:val="32"/>
          <w:highlight w:val="none"/>
        </w:rPr>
        <w:t>主要针对全市机关事务局管辖范围内的公共机构，通过行政指令刚性下达的方式，督促全市公共机构在用电紧张时段刚性执行，夏季空调温度26度以上，冬季空调温度高于20度</w:t>
      </w:r>
      <w:r>
        <w:rPr>
          <w:rFonts w:hint="eastAsia" w:ascii="Times New Roman" w:hAnsi="Times New Roman" w:eastAsia="方正仿宋_GBK" w:cs="Times New Roman"/>
          <w:color w:val="auto"/>
          <w:sz w:val="32"/>
          <w:szCs w:val="32"/>
          <w:highlight w:val="none"/>
          <w:lang w:eastAsia="zh-CN"/>
        </w:rPr>
        <w:t>。</w:t>
      </w:r>
    </w:p>
    <w:p>
      <w:pPr>
        <w:ind w:firstLine="640"/>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2）分路改造刚性控制</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val="en-US" w:eastAsia="zh-CN"/>
        </w:rPr>
        <w:t>近年来，宿迁</w:t>
      </w:r>
      <w:r>
        <w:rPr>
          <w:rFonts w:hint="default" w:ascii="Times New Roman" w:hAnsi="Times New Roman" w:eastAsia="方正仿宋_GBK" w:cs="Times New Roman"/>
          <w:color w:val="auto"/>
          <w:sz w:val="32"/>
          <w:szCs w:val="32"/>
          <w:highlight w:val="none"/>
        </w:rPr>
        <w:t>对2000kVA以上公共机构（去除医院、学校等涉及民生用户）、工商业用户等，按照空调分路开展分析监测控制。对现场空调负荷或主要设备单独分路接入的，且用户现场无CPS或BA系统的，对现场空调回路安装分路监测控制终端，在电力供需紧张阶段按照响应要求主动关停全部或部分空调负荷，作为夏季保供电期间空调负荷刚性保底控制手段。</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eastAsia="zh-CN"/>
        </w:rPr>
        <w:t>目前</w:t>
      </w:r>
      <w:r>
        <w:rPr>
          <w:rFonts w:hint="default" w:ascii="Times New Roman" w:hAnsi="Times New Roman" w:eastAsia="方正仿宋_GBK" w:cs="Times New Roman"/>
          <w:color w:val="auto"/>
          <w:sz w:val="32"/>
          <w:szCs w:val="32"/>
          <w:highlight w:val="none"/>
        </w:rPr>
        <w:t>分路改造用户总计2</w:t>
      </w:r>
      <w:r>
        <w:rPr>
          <w:rFonts w:hint="default" w:ascii="Times New Roman" w:hAnsi="Times New Roman" w:eastAsia="方正仿宋_GBK" w:cs="Times New Roman"/>
          <w:color w:val="auto"/>
          <w:sz w:val="32"/>
          <w:szCs w:val="32"/>
          <w:highlight w:val="none"/>
          <w:lang w:val="en-US" w:eastAsia="zh-CN"/>
        </w:rPr>
        <w:t>205</w:t>
      </w:r>
      <w:r>
        <w:rPr>
          <w:rFonts w:hint="default" w:ascii="Times New Roman" w:hAnsi="Times New Roman" w:eastAsia="方正仿宋_GBK" w:cs="Times New Roman"/>
          <w:color w:val="auto"/>
          <w:sz w:val="32"/>
          <w:szCs w:val="32"/>
          <w:highlight w:val="none"/>
        </w:rPr>
        <w:t>户，公共机构20户，工业2004户，商业40户，供电系统3户，总计空调可监测负荷32万千瓦，可调节11.04万千瓦。</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针对已接入分路的空调负荷，优先引导用户自行调节，对超限额的用户及时告警监测，必要时报政府部门同意后采取刚性控制措施。</w:t>
      </w:r>
    </w:p>
    <w:p>
      <w:pPr>
        <w:ind w:firstLine="640"/>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3）平台柔性调节</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对于工商业、公共机构、供电公司各级变电站、配电站等现场已具备CPS或BA系统的用户，开展集中监测与柔性调节，远程提升设定温度确保现场运行温度不低于26℃，作为夏季保供电期间空调负荷柔性调节手段。</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存量平台接入调节用户已有126户，监测负荷1.9万千瓦，柔性调节能力0.6万千瓦。对于具备柔性调节能力的用户，优先引导用户自行调节，对超限额的用户及时告警监测必要时报</w:t>
      </w:r>
      <w:r>
        <w:rPr>
          <w:rFonts w:hint="eastAsia" w:ascii="Times New Roman" w:hAnsi="Times New Roman" w:eastAsia="方正仿宋_GBK" w:cs="Times New Roman"/>
          <w:color w:val="auto"/>
          <w:sz w:val="32"/>
          <w:szCs w:val="32"/>
          <w:highlight w:val="none"/>
          <w:lang w:eastAsia="zh-CN"/>
        </w:rPr>
        <w:t>政府部门</w:t>
      </w:r>
      <w:r>
        <w:rPr>
          <w:rFonts w:hint="default" w:ascii="Times New Roman" w:hAnsi="Times New Roman" w:eastAsia="方正仿宋_GBK" w:cs="Times New Roman"/>
          <w:color w:val="auto"/>
          <w:sz w:val="32"/>
          <w:szCs w:val="32"/>
          <w:highlight w:val="none"/>
        </w:rPr>
        <w:t>同意，可采取调节主机出力、使用温度、系统软停机等调控措施。</w:t>
      </w:r>
    </w:p>
    <w:p>
      <w:pPr>
        <w:ind w:firstLine="640"/>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4）建组监测</w:t>
      </w:r>
    </w:p>
    <w:p>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迎峰度夏期间，对暂不具备刚性控制和柔性调节能力的用户，利用负荷管理系统建组监测，通过总表数据监测执行情况，以达到</w:t>
      </w:r>
      <w:r>
        <w:rPr>
          <w:rFonts w:hint="default" w:ascii="Times New Roman" w:hAnsi="Times New Roman" w:eastAsia="方正仿宋_GBK" w:cs="Times New Roman"/>
          <w:color w:val="auto"/>
          <w:sz w:val="32"/>
          <w:szCs w:val="32"/>
          <w:highlight w:val="none"/>
          <w:lang w:eastAsia="zh-CN"/>
        </w:rPr>
        <w:t>空调负荷调节</w:t>
      </w:r>
      <w:r>
        <w:rPr>
          <w:rFonts w:hint="default" w:ascii="Times New Roman" w:hAnsi="Times New Roman" w:eastAsia="方正仿宋_GBK" w:cs="Times New Roman"/>
          <w:color w:val="auto"/>
          <w:sz w:val="32"/>
          <w:szCs w:val="32"/>
          <w:highlight w:val="none"/>
        </w:rPr>
        <w:t>全覆盖目标。</w:t>
      </w:r>
    </w:p>
    <w:p>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5）居民节约用电助力</w:t>
      </w:r>
    </w:p>
    <w:p>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充分利用多种宣传手段，引导居民社区积极参与节电行动，创建节约用电良好氛围。迎峰度夏期间，选取用电负荷较高的小区，重点开展分时电价、节约用电宣传，通过减少户均空调使用数量、减少制冷空间区域，合理设置空调温度，尽量使用高效率、低能耗的空调电器，降低居民空调负荷；在居住区推广节约用电措施，对居民阶梯电价已到二</w:t>
      </w:r>
      <w:r>
        <w:rPr>
          <w:rFonts w:hint="default" w:ascii="Times New Roman" w:hAnsi="Times New Roman" w:eastAsia="方正仿宋_GBK" w:cs="Times New Roman"/>
          <w:color w:val="auto"/>
          <w:sz w:val="32"/>
          <w:szCs w:val="32"/>
          <w:highlight w:val="none"/>
          <w:lang w:val="en-US" w:eastAsia="zh-CN"/>
        </w:rPr>
        <w:t>档</w:t>
      </w:r>
      <w:r>
        <w:rPr>
          <w:rFonts w:hint="default" w:ascii="Times New Roman" w:hAnsi="Times New Roman" w:eastAsia="方正仿宋_GBK" w:cs="Times New Roman"/>
          <w:color w:val="auto"/>
          <w:sz w:val="32"/>
          <w:szCs w:val="32"/>
          <w:highlight w:val="none"/>
        </w:rPr>
        <w:t>以上的客户重点短信告知节约用电；</w:t>
      </w:r>
      <w:r>
        <w:rPr>
          <w:rFonts w:hint="default" w:ascii="Times New Roman" w:hAnsi="Times New Roman" w:eastAsia="方正仿宋_GBK" w:cs="Times New Roman"/>
          <w:color w:val="auto"/>
          <w:sz w:val="32"/>
          <w:szCs w:val="32"/>
          <w:highlight w:val="none"/>
          <w:lang w:eastAsia="zh-Hans"/>
        </w:rPr>
        <w:t>迎峰度夏前，积极组织进校园活动</w:t>
      </w:r>
      <w:r>
        <w:rPr>
          <w:rFonts w:hint="default" w:ascii="Times New Roman" w:hAnsi="Times New Roman" w:eastAsia="方正仿宋_GBK" w:cs="Times New Roman"/>
          <w:color w:val="auto"/>
          <w:sz w:val="32"/>
          <w:szCs w:val="32"/>
          <w:highlight w:val="none"/>
        </w:rPr>
        <w:t>，开展主题节约用电及安全用电宣传，引导学生和家长节约用电助力电力保供。</w:t>
      </w:r>
    </w:p>
    <w:p>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措施</w:t>
      </w:r>
      <w:r>
        <w:rPr>
          <w:rFonts w:hint="default" w:ascii="Times New Roman" w:hAnsi="Times New Roman" w:eastAsia="方正仿宋_GBK" w:cs="Times New Roman"/>
          <w:b/>
          <w:bCs/>
          <w:color w:val="auto"/>
          <w:sz w:val="32"/>
          <w:szCs w:val="32"/>
          <w:highlight w:val="none"/>
          <w:lang w:val="en-US" w:eastAsia="zh-CN"/>
        </w:rPr>
        <w:t>3</w:t>
      </w:r>
      <w:r>
        <w:rPr>
          <w:rFonts w:hint="default" w:ascii="Times New Roman" w:hAnsi="Times New Roman" w:eastAsia="方正仿宋_GBK" w:cs="Times New Roman"/>
          <w:b/>
          <w:bCs/>
          <w:color w:val="auto"/>
          <w:sz w:val="32"/>
          <w:szCs w:val="32"/>
          <w:highlight w:val="none"/>
        </w:rPr>
        <w:t>：</w:t>
      </w:r>
      <w:r>
        <w:rPr>
          <w:rFonts w:hint="default" w:ascii="Times New Roman" w:hAnsi="Times New Roman" w:eastAsia="方正仿宋_GBK" w:cs="Times New Roman"/>
          <w:b/>
          <w:bCs/>
          <w:color w:val="auto"/>
          <w:sz w:val="32"/>
          <w:szCs w:val="32"/>
          <w:highlight w:val="none"/>
          <w:lang w:eastAsia="zh-CN"/>
        </w:rPr>
        <w:t>备用柴油发电机</w:t>
      </w:r>
      <w:r>
        <w:rPr>
          <w:rFonts w:hint="default" w:ascii="Times New Roman" w:hAnsi="Times New Roman" w:eastAsia="方正仿宋_GBK" w:cs="Times New Roman"/>
          <w:b/>
          <w:bCs/>
          <w:color w:val="auto"/>
          <w:sz w:val="32"/>
          <w:szCs w:val="32"/>
          <w:highlight w:val="none"/>
        </w:rPr>
        <w:t>应急调峰</w:t>
      </w:r>
    </w:p>
    <w:p>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default" w:ascii="Times New Roman" w:hAnsi="Times New Roman" w:eastAsia="方正仿宋_GBK" w:cs="Times New Roman"/>
          <w:color w:val="auto"/>
          <w:sz w:val="32"/>
          <w:szCs w:val="32"/>
          <w:highlight w:val="none"/>
          <w:lang w:eastAsia="zh-CN"/>
        </w:rPr>
      </w:pPr>
      <w:r>
        <w:rPr>
          <w:rFonts w:hint="default" w:ascii="Times New Roman" w:hAnsi="Times New Roman" w:eastAsia="方正仿宋_GBK" w:cs="Times New Roman"/>
          <w:color w:val="auto"/>
          <w:sz w:val="32"/>
          <w:szCs w:val="32"/>
          <w:highlight w:val="none"/>
        </w:rPr>
        <w:t>全市高压客户配备自备</w:t>
      </w:r>
      <w:r>
        <w:rPr>
          <w:rFonts w:hint="default" w:ascii="Times New Roman" w:hAnsi="Times New Roman" w:eastAsia="方正仿宋_GBK" w:cs="Times New Roman"/>
          <w:color w:val="auto"/>
          <w:sz w:val="32"/>
          <w:szCs w:val="32"/>
          <w:highlight w:val="none"/>
          <w:lang w:eastAsia="zh-CN"/>
        </w:rPr>
        <w:t>柴油发电机</w:t>
      </w:r>
      <w:r>
        <w:rPr>
          <w:rFonts w:hint="default" w:ascii="Times New Roman" w:hAnsi="Times New Roman" w:eastAsia="方正仿宋_GBK" w:cs="Times New Roman"/>
          <w:color w:val="auto"/>
          <w:sz w:val="32"/>
          <w:szCs w:val="32"/>
          <w:highlight w:val="none"/>
        </w:rPr>
        <w:t>（50kW及以上）共计132户，合计配备容量18.9万千瓦，剔除化工企业、连续性生产企业保安负荷配备的</w:t>
      </w:r>
      <w:r>
        <w:rPr>
          <w:rFonts w:hint="default" w:ascii="Times New Roman" w:hAnsi="Times New Roman" w:eastAsia="方正仿宋_GBK" w:cs="Times New Roman"/>
          <w:color w:val="auto"/>
          <w:sz w:val="32"/>
          <w:szCs w:val="32"/>
          <w:highlight w:val="none"/>
          <w:lang w:eastAsia="zh-CN"/>
        </w:rPr>
        <w:t>备用柴油发电机</w:t>
      </w:r>
      <w:r>
        <w:rPr>
          <w:rFonts w:hint="default" w:ascii="Times New Roman" w:hAnsi="Times New Roman" w:eastAsia="方正仿宋_GBK" w:cs="Times New Roman"/>
          <w:color w:val="auto"/>
          <w:sz w:val="32"/>
          <w:szCs w:val="32"/>
          <w:highlight w:val="none"/>
        </w:rPr>
        <w:t>外，</w:t>
      </w:r>
      <w:r>
        <w:rPr>
          <w:rFonts w:hint="default" w:ascii="Times New Roman" w:hAnsi="Times New Roman" w:eastAsia="方正仿宋_GBK" w:cs="Times New Roman"/>
          <w:color w:val="auto"/>
          <w:sz w:val="32"/>
          <w:szCs w:val="32"/>
          <w:highlight w:val="none"/>
          <w:lang w:val="en-US" w:eastAsia="zh-CN"/>
        </w:rPr>
        <w:t>81</w:t>
      </w:r>
      <w:r>
        <w:rPr>
          <w:rFonts w:hint="default" w:ascii="Times New Roman" w:hAnsi="Times New Roman" w:eastAsia="方正仿宋_GBK" w:cs="Times New Roman"/>
          <w:color w:val="auto"/>
          <w:sz w:val="32"/>
          <w:szCs w:val="32"/>
          <w:highlight w:val="none"/>
        </w:rPr>
        <w:t>户（</w:t>
      </w:r>
      <w:r>
        <w:rPr>
          <w:rFonts w:hint="default" w:ascii="Times New Roman" w:hAnsi="Times New Roman" w:eastAsia="方正仿宋_GBK" w:cs="Times New Roman"/>
          <w:color w:val="auto"/>
          <w:sz w:val="32"/>
          <w:szCs w:val="32"/>
          <w:highlight w:val="none"/>
          <w:lang w:eastAsia="zh-CN"/>
        </w:rPr>
        <w:t>备用柴油发电机</w:t>
      </w:r>
      <w:r>
        <w:rPr>
          <w:rFonts w:hint="default" w:ascii="Times New Roman" w:hAnsi="Times New Roman" w:eastAsia="方正仿宋_GBK" w:cs="Times New Roman"/>
          <w:color w:val="auto"/>
          <w:sz w:val="32"/>
          <w:szCs w:val="32"/>
          <w:highlight w:val="none"/>
        </w:rPr>
        <w:t>合计容量</w:t>
      </w:r>
      <w:r>
        <w:rPr>
          <w:rFonts w:hint="default" w:ascii="Times New Roman" w:hAnsi="Times New Roman" w:eastAsia="方正仿宋_GBK" w:cs="Times New Roman"/>
          <w:color w:val="auto"/>
          <w:sz w:val="32"/>
          <w:szCs w:val="32"/>
          <w:highlight w:val="none"/>
          <w:lang w:val="en-US" w:eastAsia="zh-CN"/>
        </w:rPr>
        <w:t>12.56</w:t>
      </w:r>
      <w:r>
        <w:rPr>
          <w:rFonts w:hint="default" w:ascii="Times New Roman" w:hAnsi="Times New Roman" w:eastAsia="方正仿宋_GBK" w:cs="Times New Roman"/>
          <w:color w:val="auto"/>
          <w:sz w:val="32"/>
          <w:szCs w:val="32"/>
          <w:highlight w:val="none"/>
        </w:rPr>
        <w:t>万千瓦）可以通过</w:t>
      </w:r>
      <w:r>
        <w:rPr>
          <w:rFonts w:hint="default" w:ascii="Times New Roman" w:hAnsi="Times New Roman" w:eastAsia="方正仿宋_GBK" w:cs="Times New Roman"/>
          <w:color w:val="auto"/>
          <w:sz w:val="32"/>
          <w:szCs w:val="32"/>
          <w:highlight w:val="none"/>
          <w:lang w:val="en-US" w:eastAsia="zh-CN"/>
        </w:rPr>
        <w:t>备用</w:t>
      </w:r>
      <w:r>
        <w:rPr>
          <w:rFonts w:hint="default" w:ascii="Times New Roman" w:hAnsi="Times New Roman" w:eastAsia="方正仿宋_GBK" w:cs="Times New Roman"/>
          <w:color w:val="auto"/>
          <w:sz w:val="32"/>
          <w:szCs w:val="32"/>
          <w:highlight w:val="none"/>
        </w:rPr>
        <w:t>发电机维持基本生产运营，合计</w:t>
      </w:r>
      <w:r>
        <w:rPr>
          <w:rFonts w:hint="eastAsia" w:ascii="Times New Roman" w:hAnsi="Times New Roman" w:eastAsia="方正仿宋_GBK" w:cs="Times New Roman"/>
          <w:color w:val="auto"/>
          <w:sz w:val="32"/>
          <w:szCs w:val="32"/>
          <w:highlight w:val="none"/>
          <w:lang w:eastAsia="zh-CN"/>
        </w:rPr>
        <w:t>最大可调节负荷</w:t>
      </w:r>
      <w:r>
        <w:rPr>
          <w:rFonts w:hint="default" w:ascii="Times New Roman" w:hAnsi="Times New Roman" w:eastAsia="方正仿宋_GBK" w:cs="Times New Roman"/>
          <w:color w:val="auto"/>
          <w:sz w:val="32"/>
          <w:szCs w:val="32"/>
          <w:highlight w:val="none"/>
          <w:lang w:eastAsia="zh"/>
        </w:rPr>
        <w:t>3.6</w:t>
      </w:r>
      <w:r>
        <w:rPr>
          <w:rFonts w:hint="default" w:ascii="Times New Roman" w:hAnsi="Times New Roman" w:eastAsia="方正仿宋_GBK" w:cs="Times New Roman"/>
          <w:color w:val="auto"/>
          <w:sz w:val="32"/>
          <w:szCs w:val="32"/>
          <w:highlight w:val="none"/>
        </w:rPr>
        <w:t>万千瓦，拟在Ⅲ级及以上电力缺口的晚峰时段采用该项措施。在迎峰度夏前，由属地发改部门</w:t>
      </w:r>
      <w:r>
        <w:rPr>
          <w:rFonts w:hint="default" w:ascii="Times New Roman" w:hAnsi="Times New Roman" w:eastAsia="方正仿宋_GBK" w:cs="Times New Roman"/>
          <w:color w:val="auto"/>
          <w:sz w:val="32"/>
          <w:szCs w:val="32"/>
          <w:highlight w:val="none"/>
          <w:lang w:val="en-US" w:eastAsia="zh-CN"/>
        </w:rPr>
        <w:t>会同</w:t>
      </w:r>
      <w:r>
        <w:rPr>
          <w:rFonts w:hint="default" w:ascii="Times New Roman" w:hAnsi="Times New Roman" w:eastAsia="方正仿宋_GBK" w:cs="Times New Roman"/>
          <w:color w:val="auto"/>
          <w:sz w:val="32"/>
          <w:szCs w:val="32"/>
          <w:highlight w:val="none"/>
        </w:rPr>
        <w:t>供电公司</w:t>
      </w:r>
      <w:r>
        <w:rPr>
          <w:rFonts w:hint="default" w:ascii="Times New Roman" w:hAnsi="Times New Roman" w:eastAsia="方正仿宋_GBK" w:cs="Times New Roman"/>
          <w:color w:val="auto"/>
          <w:sz w:val="32"/>
          <w:szCs w:val="32"/>
          <w:highlight w:val="none"/>
          <w:lang w:val="en-US" w:eastAsia="zh-CN"/>
        </w:rPr>
        <w:t>对81</w:t>
      </w:r>
      <w:r>
        <w:rPr>
          <w:rFonts w:hint="default" w:ascii="Times New Roman" w:hAnsi="Times New Roman" w:eastAsia="方正仿宋_GBK" w:cs="Times New Roman"/>
          <w:color w:val="auto"/>
          <w:sz w:val="32"/>
          <w:szCs w:val="32"/>
          <w:highlight w:val="none"/>
        </w:rPr>
        <w:t>户有</w:t>
      </w:r>
      <w:r>
        <w:rPr>
          <w:rFonts w:hint="default" w:ascii="Times New Roman" w:hAnsi="Times New Roman" w:eastAsia="方正仿宋_GBK" w:cs="Times New Roman"/>
          <w:color w:val="auto"/>
          <w:sz w:val="32"/>
          <w:szCs w:val="32"/>
          <w:highlight w:val="none"/>
          <w:lang w:val="en-US" w:eastAsia="zh-CN"/>
        </w:rPr>
        <w:t>备用</w:t>
      </w:r>
      <w:r>
        <w:rPr>
          <w:rFonts w:hint="default" w:ascii="Times New Roman" w:hAnsi="Times New Roman" w:eastAsia="方正仿宋_GBK" w:cs="Times New Roman"/>
          <w:color w:val="auto"/>
          <w:sz w:val="32"/>
          <w:szCs w:val="32"/>
          <w:highlight w:val="none"/>
        </w:rPr>
        <w:t>发电机的企业</w:t>
      </w:r>
      <w:r>
        <w:rPr>
          <w:rFonts w:hint="default" w:ascii="Times New Roman" w:hAnsi="Times New Roman" w:eastAsia="方正仿宋_GBK" w:cs="Times New Roman"/>
          <w:color w:val="auto"/>
          <w:sz w:val="32"/>
          <w:szCs w:val="32"/>
          <w:highlight w:val="none"/>
          <w:lang w:val="en-US" w:eastAsia="zh-CN"/>
        </w:rPr>
        <w:t>开展深入调研</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深入挖掘自备机组保供潜力</w:t>
      </w:r>
      <w:r>
        <w:rPr>
          <w:rFonts w:hint="default" w:ascii="Times New Roman" w:hAnsi="Times New Roman" w:eastAsia="方正仿宋_GBK" w:cs="Times New Roman"/>
          <w:color w:val="auto"/>
          <w:sz w:val="32"/>
          <w:szCs w:val="32"/>
          <w:highlight w:val="none"/>
        </w:rPr>
        <w:t>。同时，各县区宜出台补贴政策，适当补贴企业的自发电燃料成本，以提高客户在电力供需紧张期间发电的积极性。相关客户见下表</w:t>
      </w:r>
      <w:r>
        <w:rPr>
          <w:rFonts w:hint="default" w:ascii="Times New Roman" w:hAnsi="Times New Roman" w:eastAsia="方正仿宋_GBK" w:cs="Times New Roman"/>
          <w:color w:val="auto"/>
          <w:sz w:val="32"/>
          <w:szCs w:val="32"/>
          <w:highlight w:val="none"/>
          <w:lang w:eastAsia="zh-CN"/>
        </w:rPr>
        <w:t>：</w:t>
      </w:r>
    </w:p>
    <w:p>
      <w:pPr>
        <w:ind w:firstLine="640"/>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措施</w:t>
      </w:r>
      <w:r>
        <w:rPr>
          <w:rFonts w:hint="default" w:ascii="Times New Roman" w:hAnsi="Times New Roman" w:eastAsia="方正仿宋_GBK" w:cs="Times New Roman"/>
          <w:b/>
          <w:bCs/>
          <w:color w:val="auto"/>
          <w:sz w:val="32"/>
          <w:szCs w:val="32"/>
          <w:highlight w:val="none"/>
          <w:lang w:val="en-US" w:eastAsia="zh-CN"/>
        </w:rPr>
        <w:t>4</w:t>
      </w:r>
      <w:r>
        <w:rPr>
          <w:rFonts w:hint="default" w:ascii="Times New Roman" w:hAnsi="Times New Roman" w:eastAsia="方正仿宋_GBK" w:cs="Times New Roman"/>
          <w:b/>
          <w:bCs/>
          <w:color w:val="auto"/>
          <w:sz w:val="32"/>
          <w:szCs w:val="32"/>
          <w:highlight w:val="none"/>
        </w:rPr>
        <w:t>：政府多部门综合施策</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为切实做好202</w:t>
      </w:r>
      <w:r>
        <w:rPr>
          <w:rFonts w:hint="default" w:ascii="Times New Roman" w:hAnsi="Times New Roman" w:eastAsia="方正仿宋_GBK" w:cs="Times New Roman"/>
          <w:color w:val="auto"/>
          <w:sz w:val="32"/>
          <w:szCs w:val="32"/>
          <w:highlight w:val="none"/>
          <w:lang w:val="en-US" w:eastAsia="zh-CN"/>
        </w:rPr>
        <w:t>5</w:t>
      </w:r>
      <w:r>
        <w:rPr>
          <w:rFonts w:hint="default" w:ascii="Times New Roman" w:hAnsi="Times New Roman" w:eastAsia="方正仿宋_GBK" w:cs="Times New Roman"/>
          <w:color w:val="auto"/>
          <w:sz w:val="32"/>
          <w:szCs w:val="32"/>
          <w:highlight w:val="none"/>
        </w:rPr>
        <w:t>年电力保供工作，提升企业参与电力负荷管理的积极性，推动我市电力保供精准高效执行，保障全市电力供应的平稳有序，</w:t>
      </w:r>
      <w:r>
        <w:rPr>
          <w:rFonts w:hint="default" w:ascii="Times New Roman" w:hAnsi="Times New Roman" w:eastAsia="方正仿宋_GBK" w:cs="Times New Roman"/>
          <w:color w:val="auto"/>
          <w:sz w:val="32"/>
          <w:szCs w:val="32"/>
          <w:highlight w:val="none"/>
          <w:lang w:eastAsia="zh-Hans"/>
        </w:rPr>
        <w:t>宿迁各机关单位根据职责分工，做好保供措施支撑和政策支持，</w:t>
      </w:r>
      <w:r>
        <w:rPr>
          <w:rFonts w:hint="default" w:ascii="Times New Roman" w:hAnsi="Times New Roman" w:eastAsia="方正仿宋_GBK" w:cs="Times New Roman"/>
          <w:color w:val="auto"/>
          <w:sz w:val="32"/>
          <w:szCs w:val="32"/>
          <w:highlight w:val="none"/>
        </w:rPr>
        <w:t>相关举措如下：</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（1）市发改委统筹做好煤炭、电力、成品油、天然气等能源要素保障工作。</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（2）市工信局印发了《202</w:t>
      </w:r>
      <w:r>
        <w:rPr>
          <w:rFonts w:hint="default" w:ascii="Times New Roman" w:hAnsi="Times New Roman" w:eastAsia="方正仿宋_GBK" w:cs="Times New Roman"/>
          <w:color w:val="auto"/>
          <w:sz w:val="32"/>
          <w:szCs w:val="32"/>
          <w:highlight w:val="none"/>
          <w:lang w:val="en-US" w:eastAsia="zh-CN"/>
        </w:rPr>
        <w:t>5</w:t>
      </w:r>
      <w:r>
        <w:rPr>
          <w:rFonts w:hint="default" w:ascii="Times New Roman" w:hAnsi="Times New Roman" w:eastAsia="方正仿宋_GBK" w:cs="Times New Roman"/>
          <w:color w:val="auto"/>
          <w:sz w:val="32"/>
          <w:szCs w:val="32"/>
          <w:highlight w:val="none"/>
        </w:rPr>
        <w:t>年全市工业企业资源集约利用综合评价工作方案》，将电力需求响应纳入工业企业资源集约利用综合评价，方案中明确严格控制D 类企业用电，原则上D 类企业纳入首轮响应需求，不晚于Ⅲ级响应。在迎峰度夏（冬）用电高峰期积极主动参与电力需求响应，累计执行量80%以上且单次响应量达1000千瓦的加1分。</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（3）市生态环境局开展夏季臭氧管控，根据境内国控监测点检测情况，安排产生有机废气的相关企业停限产，冬季根据重污染超标情况，安排产排大户停限产。</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迎峰度夏（冬）期间，市生态环境局将根据国控点检测缺口，对1</w:t>
      </w:r>
      <w:r>
        <w:rPr>
          <w:rFonts w:hint="default" w:ascii="Times New Roman" w:hAnsi="Times New Roman" w:eastAsia="方正仿宋_GBK" w:cs="Times New Roman"/>
          <w:color w:val="auto"/>
          <w:sz w:val="32"/>
          <w:szCs w:val="32"/>
          <w:highlight w:val="none"/>
          <w:lang w:val="en-US" w:eastAsia="zh-CN"/>
        </w:rPr>
        <w:t>24</w:t>
      </w:r>
      <w:r>
        <w:rPr>
          <w:rFonts w:hint="default" w:ascii="Times New Roman" w:hAnsi="Times New Roman" w:eastAsia="方正仿宋_GBK" w:cs="Times New Roman"/>
          <w:color w:val="auto"/>
          <w:sz w:val="32"/>
          <w:szCs w:val="32"/>
          <w:highlight w:val="none"/>
        </w:rPr>
        <w:t>户（晚峰典型负荷约30.62万千瓦）臭氧管控企业开展集中管控，安排排放不达标的企业或者部分生产线在电力负荷高峰期停产检修，或者开展落后设备更新升级，视情况也</w:t>
      </w:r>
      <w:r>
        <w:rPr>
          <w:rFonts w:hint="eastAsia" w:ascii="Times New Roman" w:hAnsi="Times New Roman" w:eastAsia="方正仿宋_GBK" w:cs="Times New Roman"/>
          <w:color w:val="auto"/>
          <w:sz w:val="32"/>
          <w:szCs w:val="32"/>
          <w:highlight w:val="none"/>
          <w:lang w:eastAsia="zh-CN"/>
        </w:rPr>
        <w:t>纳入</w:t>
      </w:r>
      <w:r>
        <w:rPr>
          <w:rFonts w:hint="default" w:ascii="Times New Roman" w:hAnsi="Times New Roman" w:eastAsia="方正仿宋_GBK" w:cs="Times New Roman"/>
          <w:color w:val="auto"/>
          <w:sz w:val="32"/>
          <w:szCs w:val="32"/>
          <w:highlight w:val="none"/>
        </w:rPr>
        <w:t>集中检修范畴。涉及企业如下表所示：</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4）市市场监管局开展煤炭销售企业电煤价格执行情况专项检查，重点检查煤炭销售企业是否存在哄抬价格、串通涨价、囤积居奇等价格违法行为，对哄抬煤炭价格、影响迎峰度夏能源保供大局的行为进行依法查处，保证发电企业应发尽发。</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5）市城管局应加快城市路灯的节能改造，提升路灯的照明效果；在每个路灯上单独安装控制终端，实现路灯的灵活控制；各级城市管理部门运用城市运行管理服务平台智慧路灯管理系统编制《迎峰度夏市政照明、景观亮化应急启动方案》，明确具体区域、路段路灯照明开启策略。迎峰度夏负荷高峰期间，在偏远地区路灯实行减半亮灯；对城区楼宇亮化、桥体等亮化负荷严格控制。鉴于大部分照明工程和景观照明用电无独立控制户号或为低压用户，如遇连续性电力缺口，政府相关部门做好相关举措，确保电力负荷管理预案高效执行。</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根据各县区路灯管理部门统计，全市主要道路路灯最高用电负荷约2万千瓦，延迟开启</w:t>
      </w:r>
      <w:r>
        <w:rPr>
          <w:rFonts w:hint="eastAsia" w:ascii="Times New Roman" w:hAnsi="Times New Roman" w:eastAsia="方正仿宋_GBK" w:cs="Times New Roman"/>
          <w:color w:val="auto"/>
          <w:sz w:val="32"/>
          <w:szCs w:val="32"/>
          <w:highlight w:val="none"/>
          <w:lang w:eastAsia="zh-CN"/>
        </w:rPr>
        <w:t>最大可调负荷</w:t>
      </w:r>
      <w:r>
        <w:rPr>
          <w:rFonts w:hint="default" w:ascii="Times New Roman" w:hAnsi="Times New Roman" w:eastAsia="方正仿宋_GBK" w:cs="Times New Roman"/>
          <w:color w:val="auto"/>
          <w:sz w:val="32"/>
          <w:szCs w:val="32"/>
          <w:highlight w:val="none"/>
        </w:rPr>
        <w:t>0.78万千瓦，具备亮度调节的路灯约1万盏，通过亮度调节可降低负荷0.04万千瓦，部分路段路灯间隔开启、单侧开启可降低负荷0.31万千瓦；景观亮化最高用电负荷0.72万千瓦，临时关停部分亮化照明设备，可降低用电负荷0.39万千瓦。</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6）市交通局成立能源物资专班，加强与洋北电厂的合作，保障电煤的运输，重点做好长江、内河、铁路的运输的协调；安排应急保障运输车辆，保障电煤的运输；做好水路、铁路、港口方面的调度，保障运输畅通，确保煤炭运输船舶优先过闸。</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（7）市商务局向商超、宾馆等商贸企业发放节约用电倡议书，做好节约用电宣传；明确商贸用电主体在负荷高峰期间商超空调温度严格设定在26度以上，白天关闭照明设备，非重点民生企业错峰避峰用电。</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（8）市住建局协调处理电力杆线与城市树木存在“树线矛盾”的，加大排查和处置力度，加强与供电部门协调配合，及时消除安全隐患；在城市公园的景观照明用电上，</w:t>
      </w:r>
      <w:r>
        <w:rPr>
          <w:rFonts w:hint="eastAsia" w:ascii="Times New Roman" w:hAnsi="Times New Roman" w:eastAsia="方正仿宋_GBK" w:cs="Times New Roman"/>
          <w:color w:val="auto"/>
          <w:sz w:val="32"/>
          <w:szCs w:val="32"/>
          <w:highlight w:val="none"/>
          <w:lang w:eastAsia="zh-CN"/>
        </w:rPr>
        <w:t>按照</w:t>
      </w:r>
      <w:r>
        <w:rPr>
          <w:rFonts w:hint="default" w:ascii="Times New Roman" w:hAnsi="Times New Roman" w:eastAsia="方正仿宋_GBK" w:cs="Times New Roman"/>
          <w:color w:val="auto"/>
          <w:sz w:val="32"/>
          <w:szCs w:val="32"/>
          <w:highlight w:val="none"/>
        </w:rPr>
        <w:t>亮化办的统一要求，缩减亮灯时间，控制亮灯数量，最大程度节约用电。</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（9）中国石化、中石油、昆仑燃气，全力保障发电、供电企业的用油及用气需求。</w:t>
      </w:r>
    </w:p>
    <w:p>
      <w:pPr>
        <w:pStyle w:val="3"/>
        <w:keepNext w:val="0"/>
        <w:keepLines w:val="0"/>
        <w:pageBreakBefore w:val="0"/>
        <w:widowControl w:val="0"/>
        <w:numPr>
          <w:ilvl w:val="0"/>
          <w:numId w:val="0"/>
        </w:numPr>
        <w:kinsoku/>
        <w:wordWrap/>
        <w:overflowPunct/>
        <w:topLinePunct w:val="0"/>
        <w:autoSpaceDE/>
        <w:autoSpaceDN/>
        <w:bidi w:val="0"/>
        <w:spacing w:before="0" w:after="0" w:line="500" w:lineRule="exact"/>
        <w:textAlignment w:val="auto"/>
        <w:rPr>
          <w:rFonts w:hint="default" w:ascii="Times New Roman" w:hAnsi="Times New Roman" w:eastAsia="方正黑体_GBK" w:cs="Times New Roman"/>
          <w:b w:val="0"/>
          <w:color w:val="auto"/>
          <w:kern w:val="2"/>
          <w:sz w:val="32"/>
          <w:highlight w:val="none"/>
        </w:rPr>
      </w:pPr>
      <w:bookmarkStart w:id="460" w:name="_GoBack"/>
      <w:bookmarkEnd w:id="460"/>
      <w:bookmarkStart w:id="103" w:name="_Toc8945"/>
      <w:bookmarkStart w:id="104" w:name="_Toc17234"/>
      <w:bookmarkStart w:id="105" w:name="_Toc30253"/>
      <w:bookmarkStart w:id="106" w:name="_Toc317170158"/>
      <w:bookmarkStart w:id="107" w:name="_Toc11345"/>
      <w:bookmarkStart w:id="108" w:name="_Toc32467"/>
      <w:bookmarkStart w:id="109" w:name="_Toc3104"/>
      <w:bookmarkStart w:id="110" w:name="_Toc30378"/>
      <w:r>
        <w:rPr>
          <w:rFonts w:hint="default" w:ascii="Times New Roman" w:hAnsi="Times New Roman" w:eastAsia="方正黑体_GBK" w:cs="Times New Roman"/>
          <w:b w:val="0"/>
          <w:color w:val="auto"/>
          <w:kern w:val="2"/>
          <w:sz w:val="32"/>
          <w:highlight w:val="none"/>
        </w:rPr>
        <w:t>第五章  预案执行</w:t>
      </w:r>
      <w:bookmarkEnd w:id="103"/>
      <w:bookmarkEnd w:id="104"/>
    </w:p>
    <w:p>
      <w:pPr>
        <w:pStyle w:val="5"/>
        <w:ind w:firstLine="640"/>
        <w:rPr>
          <w:rFonts w:hint="default" w:ascii="Times New Roman" w:hAnsi="Times New Roman" w:eastAsia="方正仿宋_GBK" w:cs="Times New Roman"/>
          <w:color w:val="auto"/>
          <w:sz w:val="32"/>
          <w:szCs w:val="32"/>
          <w:highlight w:val="none"/>
        </w:rPr>
      </w:pPr>
      <w:bookmarkStart w:id="111" w:name="_Toc6702"/>
      <w:bookmarkStart w:id="112" w:name="_Toc5927"/>
    </w:p>
    <w:p>
      <w:pPr>
        <w:pStyle w:val="5"/>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5.1  方案启动原则</w:t>
      </w:r>
      <w:bookmarkEnd w:id="111"/>
      <w:bookmarkEnd w:id="112"/>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为有效应对可能出现的电力供需失衡，尽最大限度减少对经济的影响，确保《宿迁市202</w:t>
      </w:r>
      <w:r>
        <w:rPr>
          <w:rFonts w:hint="default" w:ascii="Times New Roman" w:hAnsi="Times New Roman" w:eastAsia="方正仿宋_GBK" w:cs="Times New Roman"/>
          <w:color w:val="auto"/>
          <w:sz w:val="32"/>
          <w:szCs w:val="32"/>
          <w:highlight w:val="none"/>
          <w:lang w:val="en-US" w:eastAsia="zh-CN"/>
        </w:rPr>
        <w:t>5</w:t>
      </w:r>
      <w:r>
        <w:rPr>
          <w:rFonts w:hint="default" w:ascii="Times New Roman" w:hAnsi="Times New Roman" w:eastAsia="方正仿宋_GBK" w:cs="Times New Roman"/>
          <w:color w:val="auto"/>
          <w:sz w:val="32"/>
          <w:szCs w:val="32"/>
          <w:highlight w:val="none"/>
        </w:rPr>
        <w:t>年电力负荷管理预案》执行到位，特制订方案实施流程。</w:t>
      </w:r>
    </w:p>
    <w:p>
      <w:pPr>
        <w:ind w:firstLine="640"/>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方案启动原则</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（1）出现以下情况时，需及时启动电力负荷管理预案：</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①因用电负荷增加，全网或局部电网出现电力缺口；</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②因突发事件造成电力供应不足，且48小时内无法恢复正常供电能力。</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（2）启动电力负荷管理预案时，应严格执行分级响应原则。</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①出现电力供需失衡情况，应优先启动需求响应，</w:t>
      </w:r>
      <w:r>
        <w:rPr>
          <w:rFonts w:hint="default" w:ascii="Times New Roman" w:hAnsi="Times New Roman" w:eastAsia="方正仿宋_GBK" w:cs="Times New Roman"/>
          <w:color w:val="auto"/>
          <w:sz w:val="32"/>
          <w:szCs w:val="32"/>
          <w:highlight w:val="none"/>
          <w:lang w:val="en-US" w:eastAsia="zh-CN"/>
        </w:rPr>
        <w:t>电力</w:t>
      </w:r>
      <w:r>
        <w:rPr>
          <w:rFonts w:hint="default" w:ascii="Times New Roman" w:hAnsi="Times New Roman" w:eastAsia="方正仿宋_GBK" w:cs="Times New Roman"/>
          <w:color w:val="auto"/>
          <w:sz w:val="32"/>
          <w:szCs w:val="32"/>
          <w:highlight w:val="none"/>
        </w:rPr>
        <w:t>缺口较大或用户响应不及时，根据实际情况采取其他负荷管理措施。为体现公平承担的原则，减少错避峰对用户生产经营安排的不利影响，保障用户在电力供需失衡的情况下仍能有计划</w:t>
      </w:r>
      <w:r>
        <w:rPr>
          <w:rFonts w:hint="eastAsia" w:ascii="Times New Roman" w:hAnsi="Times New Roman" w:eastAsia="方正仿宋_GBK" w:cs="Times New Roman"/>
          <w:color w:val="auto"/>
          <w:sz w:val="32"/>
          <w:szCs w:val="32"/>
          <w:highlight w:val="none"/>
          <w:lang w:eastAsia="zh-CN"/>
        </w:rPr>
        <w:t>地</w:t>
      </w:r>
      <w:r>
        <w:rPr>
          <w:rFonts w:hint="default" w:ascii="Times New Roman" w:hAnsi="Times New Roman" w:eastAsia="方正仿宋_GBK" w:cs="Times New Roman"/>
          <w:color w:val="auto"/>
          <w:sz w:val="32"/>
          <w:szCs w:val="32"/>
          <w:highlight w:val="none"/>
        </w:rPr>
        <w:t>组织安排生产，按周制定滚动实施计划。</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②启动负荷管理预案时，严格执行分级响应原则，首先启动高耗能分组，待控制负荷不能达到要求时，再按序投入其他工业分组，非工组自降助力，使地区负荷达到平衡要求。</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③出现长时间可预见性电力缺口时，根据上级要求，依据相关流程规范，启动轮休计划。</w:t>
      </w:r>
    </w:p>
    <w:p>
      <w:pPr>
        <w:ind w:firstLine="640"/>
        <w:rPr>
          <w:rFonts w:hint="default" w:ascii="Times New Roman" w:hAnsi="Times New Roman" w:eastAsia="方正仿宋_GBK" w:cs="Times New Roman"/>
          <w:b/>
          <w:bCs/>
          <w:color w:val="auto"/>
          <w:sz w:val="32"/>
          <w:szCs w:val="32"/>
          <w:highlight w:val="none"/>
          <w:lang w:val="en-US" w:eastAsia="zh-CN"/>
        </w:rPr>
      </w:pPr>
      <w:r>
        <w:rPr>
          <w:rFonts w:hint="default" w:ascii="Times New Roman" w:hAnsi="Times New Roman" w:eastAsia="方正仿宋_GBK" w:cs="Times New Roman"/>
          <w:b/>
          <w:bCs/>
          <w:color w:val="auto"/>
          <w:sz w:val="32"/>
          <w:szCs w:val="32"/>
          <w:highlight w:val="none"/>
          <w:lang w:val="en-US" w:eastAsia="zh-CN"/>
        </w:rPr>
        <w:t>资源</w:t>
      </w:r>
      <w:r>
        <w:rPr>
          <w:rFonts w:hint="default" w:ascii="Times New Roman" w:hAnsi="Times New Roman" w:eastAsia="方正仿宋_GBK" w:cs="Times New Roman"/>
          <w:b/>
          <w:bCs/>
          <w:color w:val="auto"/>
          <w:sz w:val="32"/>
          <w:szCs w:val="32"/>
          <w:highlight w:val="none"/>
        </w:rPr>
        <w:t>启</w:t>
      </w:r>
      <w:r>
        <w:rPr>
          <w:rFonts w:hint="default" w:ascii="Times New Roman" w:hAnsi="Times New Roman" w:eastAsia="方正仿宋_GBK" w:cs="Times New Roman"/>
          <w:b/>
          <w:bCs/>
          <w:color w:val="auto"/>
          <w:sz w:val="32"/>
          <w:szCs w:val="32"/>
          <w:highlight w:val="none"/>
          <w:lang w:val="en-US" w:eastAsia="zh-CN"/>
        </w:rPr>
        <w:t>用机制</w:t>
      </w:r>
    </w:p>
    <w:p>
      <w:pPr>
        <w:numPr>
          <w:ilvl w:val="0"/>
          <w:numId w:val="0"/>
        </w:numPr>
        <w:ind w:firstLine="640" w:firstLineChars="200"/>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仿宋_GBK" w:cs="Times New Roman"/>
          <w:kern w:val="2"/>
          <w:sz w:val="32"/>
          <w:szCs w:val="32"/>
          <w:highlight w:val="none"/>
          <w:lang w:val="en-US" w:eastAsia="zh-CN" w:bidi="ar-SA"/>
        </w:rPr>
        <w:t>（1）</w:t>
      </w:r>
      <w:r>
        <w:rPr>
          <w:rFonts w:hint="default" w:ascii="Times New Roman" w:hAnsi="Times New Roman" w:eastAsia="方正仿宋_GBK" w:cs="Times New Roman"/>
          <w:b/>
          <w:bCs/>
          <w:color w:val="auto"/>
          <w:sz w:val="32"/>
          <w:szCs w:val="32"/>
          <w:highlight w:val="none"/>
          <w:lang w:val="en-US" w:eastAsia="zh-CN"/>
        </w:rPr>
        <w:t>资源分类。</w:t>
      </w:r>
      <w:r>
        <w:rPr>
          <w:rFonts w:hint="default" w:ascii="Times New Roman" w:hAnsi="Times New Roman" w:eastAsia="方正仿宋_GBK" w:cs="Times New Roman"/>
          <w:b w:val="0"/>
          <w:bCs w:val="0"/>
          <w:color w:val="auto"/>
          <w:sz w:val="32"/>
          <w:szCs w:val="32"/>
          <w:highlight w:val="none"/>
          <w:lang w:val="en-US" w:eastAsia="zh-CN"/>
        </w:rPr>
        <w:t>电网调控资源主要分为</w:t>
      </w:r>
      <w:r>
        <w:rPr>
          <w:rFonts w:hint="default" w:ascii="Times New Roman" w:hAnsi="Times New Roman" w:eastAsia="方正仿宋_GBK" w:cs="Times New Roman"/>
          <w:sz w:val="32"/>
          <w:szCs w:val="32"/>
          <w:highlight w:val="none"/>
          <w:lang w:val="en-US" w:eastAsia="zh-CN"/>
        </w:rPr>
        <w:t>需求响应资源、辅助服务资源和电力现货市场资源等。</w:t>
      </w:r>
    </w:p>
    <w:p>
      <w:pPr>
        <w:bidi w:val="0"/>
        <w:ind w:left="0" w:leftChars="0" w:firstLine="643" w:firstLineChars="200"/>
        <w:jc w:val="left"/>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b/>
          <w:bCs/>
          <w:color w:val="auto"/>
          <w:sz w:val="32"/>
          <w:szCs w:val="32"/>
          <w:highlight w:val="none"/>
          <w:lang w:val="en-US" w:eastAsia="zh-CN"/>
        </w:rPr>
        <w:t>需求响应资源</w:t>
      </w:r>
      <w:r>
        <w:rPr>
          <w:rFonts w:hint="default" w:ascii="Times New Roman" w:hAnsi="Times New Roman" w:eastAsia="方正仿宋_GBK" w:cs="Times New Roman"/>
          <w:color w:val="auto"/>
          <w:sz w:val="32"/>
          <w:szCs w:val="32"/>
          <w:highlight w:val="none"/>
          <w:lang w:val="en-US" w:eastAsia="zh-CN"/>
        </w:rPr>
        <w:t>主要包括工业用户、</w:t>
      </w:r>
      <w:r>
        <w:rPr>
          <w:rFonts w:hint="eastAsia" w:ascii="Times New Roman" w:hAnsi="Times New Roman" w:eastAsia="方正仿宋_GBK" w:cs="Times New Roman"/>
          <w:color w:val="auto"/>
          <w:sz w:val="32"/>
          <w:szCs w:val="32"/>
          <w:highlight w:val="none"/>
          <w:lang w:val="en-US" w:eastAsia="zh-CN"/>
        </w:rPr>
        <w:t>非工及</w:t>
      </w:r>
      <w:r>
        <w:rPr>
          <w:rFonts w:hint="default" w:ascii="Times New Roman" w:hAnsi="Times New Roman" w:eastAsia="方正仿宋_GBK" w:cs="Times New Roman"/>
          <w:color w:val="auto"/>
          <w:sz w:val="32"/>
          <w:szCs w:val="32"/>
          <w:highlight w:val="none"/>
          <w:lang w:val="en-US" w:eastAsia="zh-CN"/>
        </w:rPr>
        <w:t>商业用户、储能设施等用户侧负荷资源。</w:t>
      </w:r>
      <w:r>
        <w:rPr>
          <w:rFonts w:hint="default" w:ascii="Times New Roman" w:hAnsi="Times New Roman" w:eastAsia="方正仿宋_GBK" w:cs="Times New Roman"/>
          <w:b/>
          <w:bCs/>
          <w:color w:val="auto"/>
          <w:sz w:val="32"/>
          <w:szCs w:val="32"/>
          <w:highlight w:val="none"/>
          <w:lang w:val="en-US" w:eastAsia="zh-CN"/>
        </w:rPr>
        <w:t>工业用户：</w:t>
      </w:r>
      <w:r>
        <w:rPr>
          <w:rFonts w:hint="default" w:ascii="Times New Roman" w:hAnsi="Times New Roman" w:eastAsia="方正仿宋_GBK" w:cs="Times New Roman"/>
          <w:color w:val="auto"/>
          <w:sz w:val="32"/>
          <w:szCs w:val="32"/>
          <w:highlight w:val="none"/>
          <w:lang w:val="en-US" w:eastAsia="zh-CN"/>
        </w:rPr>
        <w:t>通过可中断负荷、生产计划调整参与需求响应，调节能力按负荷削减潜力核定。</w:t>
      </w:r>
      <w:r>
        <w:rPr>
          <w:rFonts w:hint="eastAsia" w:ascii="Times New Roman" w:hAnsi="Times New Roman" w:eastAsia="方正仿宋_GBK" w:cs="Times New Roman"/>
          <w:b/>
          <w:bCs/>
          <w:color w:val="auto"/>
          <w:sz w:val="32"/>
          <w:szCs w:val="32"/>
          <w:highlight w:val="none"/>
          <w:lang w:val="en-US" w:eastAsia="zh-CN"/>
        </w:rPr>
        <w:t>非工及</w:t>
      </w:r>
      <w:r>
        <w:rPr>
          <w:rFonts w:hint="default" w:ascii="Times New Roman" w:hAnsi="Times New Roman" w:eastAsia="方正仿宋_GBK" w:cs="Times New Roman"/>
          <w:b/>
          <w:bCs/>
          <w:color w:val="auto"/>
          <w:sz w:val="32"/>
          <w:szCs w:val="32"/>
          <w:highlight w:val="none"/>
          <w:lang w:val="en-US" w:eastAsia="zh-CN"/>
        </w:rPr>
        <w:t>商业用户：</w:t>
      </w:r>
      <w:r>
        <w:rPr>
          <w:rFonts w:hint="default" w:ascii="Times New Roman" w:hAnsi="Times New Roman" w:eastAsia="方正仿宋_GBK" w:cs="Times New Roman"/>
          <w:color w:val="auto"/>
          <w:sz w:val="32"/>
          <w:szCs w:val="32"/>
          <w:highlight w:val="none"/>
          <w:lang w:val="en-US" w:eastAsia="zh-CN"/>
        </w:rPr>
        <w:t>基于价格政策（如分时电价）的柔性负荷调节，按响应速度和持续时间分级。</w:t>
      </w:r>
      <w:r>
        <w:rPr>
          <w:rFonts w:hint="default" w:ascii="Times New Roman" w:hAnsi="Times New Roman" w:eastAsia="方正仿宋_GBK" w:cs="Times New Roman"/>
          <w:b/>
          <w:bCs/>
          <w:color w:val="auto"/>
          <w:sz w:val="32"/>
          <w:szCs w:val="32"/>
          <w:highlight w:val="none"/>
          <w:lang w:val="en-US" w:eastAsia="zh-CN"/>
        </w:rPr>
        <w:t>储能设施：</w:t>
      </w:r>
      <w:r>
        <w:rPr>
          <w:rFonts w:hint="default" w:ascii="Times New Roman" w:hAnsi="Times New Roman" w:eastAsia="方正仿宋_GBK" w:cs="Times New Roman"/>
          <w:color w:val="auto"/>
          <w:sz w:val="32"/>
          <w:szCs w:val="32"/>
          <w:highlight w:val="none"/>
          <w:lang w:val="en-US" w:eastAsia="zh-CN"/>
        </w:rPr>
        <w:t>明确充放电功率和容量，区分其参与需求响应（削峰填谷）与辅助服务（调频）的边界。</w:t>
      </w:r>
    </w:p>
    <w:p>
      <w:pPr>
        <w:bidi w:val="0"/>
        <w:ind w:left="0" w:leftChars="0" w:firstLine="643" w:firstLineChars="200"/>
        <w:jc w:val="left"/>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b/>
          <w:bCs/>
          <w:color w:val="auto"/>
          <w:sz w:val="32"/>
          <w:szCs w:val="32"/>
          <w:highlight w:val="none"/>
          <w:lang w:val="en-US" w:eastAsia="zh-CN"/>
        </w:rPr>
        <w:t>辅助服务资源</w:t>
      </w:r>
      <w:r>
        <w:rPr>
          <w:rFonts w:hint="default" w:ascii="Times New Roman" w:hAnsi="Times New Roman" w:eastAsia="方正仿宋_GBK" w:cs="Times New Roman"/>
          <w:color w:val="auto"/>
          <w:sz w:val="32"/>
          <w:szCs w:val="32"/>
          <w:highlight w:val="none"/>
          <w:lang w:val="en-US" w:eastAsia="zh-CN"/>
        </w:rPr>
        <w:t>主要包括传统电源、新型储能、电动汽车、分布式能源等电源侧资源。</w:t>
      </w:r>
      <w:r>
        <w:rPr>
          <w:rFonts w:hint="default" w:ascii="Times New Roman" w:hAnsi="Times New Roman" w:eastAsia="方正仿宋_GBK" w:cs="Times New Roman"/>
          <w:b/>
          <w:bCs/>
          <w:color w:val="auto"/>
          <w:sz w:val="32"/>
          <w:szCs w:val="32"/>
          <w:highlight w:val="none"/>
          <w:lang w:val="en-US" w:eastAsia="zh-CN"/>
        </w:rPr>
        <w:t>传统电源：</w:t>
      </w:r>
      <w:r>
        <w:rPr>
          <w:rFonts w:hint="default" w:ascii="Times New Roman" w:hAnsi="Times New Roman" w:eastAsia="方正仿宋_GBK" w:cs="Times New Roman"/>
          <w:color w:val="auto"/>
          <w:sz w:val="32"/>
          <w:szCs w:val="32"/>
          <w:highlight w:val="none"/>
          <w:lang w:val="en-US" w:eastAsia="zh-CN"/>
        </w:rPr>
        <w:t>火电机组的调频、备用能力，按爬坡速率和可持续时间量化。</w:t>
      </w:r>
      <w:r>
        <w:rPr>
          <w:rFonts w:hint="default" w:ascii="Times New Roman" w:hAnsi="Times New Roman" w:eastAsia="方正仿宋_GBK" w:cs="Times New Roman"/>
          <w:b/>
          <w:bCs/>
          <w:color w:val="auto"/>
          <w:sz w:val="32"/>
          <w:szCs w:val="32"/>
          <w:highlight w:val="none"/>
          <w:lang w:val="en-US" w:eastAsia="zh-CN"/>
        </w:rPr>
        <w:t>新型储能/电动汽车：</w:t>
      </w:r>
      <w:r>
        <w:rPr>
          <w:rFonts w:hint="default" w:ascii="Times New Roman" w:hAnsi="Times New Roman" w:eastAsia="方正仿宋_GBK" w:cs="Times New Roman"/>
          <w:color w:val="auto"/>
          <w:sz w:val="32"/>
          <w:szCs w:val="32"/>
          <w:highlight w:val="none"/>
          <w:lang w:val="en-US" w:eastAsia="zh-CN"/>
        </w:rPr>
        <w:t>快速响应能力（秒级/分钟级），优先用于调频、备用等辅助服务。</w:t>
      </w:r>
      <w:r>
        <w:rPr>
          <w:rFonts w:hint="default" w:ascii="Times New Roman" w:hAnsi="Times New Roman" w:eastAsia="方正仿宋_GBK" w:cs="Times New Roman"/>
          <w:b/>
          <w:bCs/>
          <w:color w:val="auto"/>
          <w:sz w:val="32"/>
          <w:szCs w:val="32"/>
          <w:highlight w:val="none"/>
          <w:lang w:val="en-US" w:eastAsia="zh-CN"/>
        </w:rPr>
        <w:t>分布式能源：</w:t>
      </w:r>
      <w:r>
        <w:rPr>
          <w:rFonts w:hint="default" w:ascii="Times New Roman" w:hAnsi="Times New Roman" w:eastAsia="方正仿宋_GBK" w:cs="Times New Roman"/>
          <w:color w:val="auto"/>
          <w:sz w:val="32"/>
          <w:szCs w:val="32"/>
          <w:highlight w:val="none"/>
          <w:lang w:val="en-US" w:eastAsia="zh-CN"/>
        </w:rPr>
        <w:t>虚拟电厂聚合的小型光伏、储能，按聚合容量和响应精度核定调节能力。</w:t>
      </w:r>
    </w:p>
    <w:p>
      <w:pPr>
        <w:ind w:left="0" w:leftChars="0" w:firstLine="643" w:firstLineChars="20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b/>
          <w:bCs/>
          <w:color w:val="auto"/>
          <w:sz w:val="32"/>
          <w:szCs w:val="32"/>
          <w:highlight w:val="none"/>
          <w:lang w:val="en-US" w:eastAsia="zh-CN"/>
        </w:rPr>
        <w:t>电力现货市场资源</w:t>
      </w:r>
      <w:r>
        <w:rPr>
          <w:rFonts w:hint="default" w:ascii="Times New Roman" w:hAnsi="Times New Roman" w:eastAsia="方正仿宋_GBK" w:cs="Times New Roman"/>
          <w:color w:val="auto"/>
          <w:sz w:val="32"/>
          <w:szCs w:val="32"/>
          <w:highlight w:val="none"/>
          <w:lang w:val="en-US" w:eastAsia="zh-CN"/>
        </w:rPr>
        <w:t>分为发电侧和用户侧资源。</w:t>
      </w:r>
      <w:r>
        <w:rPr>
          <w:rFonts w:hint="default" w:ascii="Times New Roman" w:hAnsi="Times New Roman" w:eastAsia="方正仿宋_GBK" w:cs="Times New Roman"/>
          <w:b/>
          <w:bCs/>
          <w:color w:val="auto"/>
          <w:sz w:val="32"/>
          <w:szCs w:val="32"/>
          <w:highlight w:val="none"/>
          <w:lang w:val="en-US" w:eastAsia="zh-CN"/>
        </w:rPr>
        <w:t>发电侧</w:t>
      </w:r>
      <w:r>
        <w:rPr>
          <w:rFonts w:hint="default" w:ascii="Times New Roman" w:hAnsi="Times New Roman" w:eastAsia="方正仿宋_GBK" w:cs="Times New Roman"/>
          <w:color w:val="auto"/>
          <w:sz w:val="32"/>
          <w:szCs w:val="32"/>
          <w:highlight w:val="none"/>
          <w:lang w:val="en-US" w:eastAsia="zh-CN"/>
        </w:rPr>
        <w:t>：风、光等波动性电源的出力预测偏差调节，按预测精度和调节成本定价。</w:t>
      </w:r>
      <w:r>
        <w:rPr>
          <w:rFonts w:hint="default" w:ascii="Times New Roman" w:hAnsi="Times New Roman" w:eastAsia="方正仿宋_GBK" w:cs="Times New Roman"/>
          <w:b/>
          <w:bCs/>
          <w:color w:val="auto"/>
          <w:sz w:val="32"/>
          <w:szCs w:val="32"/>
          <w:highlight w:val="none"/>
          <w:lang w:val="en-US" w:eastAsia="zh-CN"/>
        </w:rPr>
        <w:t>用户侧</w:t>
      </w:r>
      <w:r>
        <w:rPr>
          <w:rFonts w:hint="default" w:ascii="Times New Roman" w:hAnsi="Times New Roman" w:eastAsia="方正仿宋_GBK" w:cs="Times New Roman"/>
          <w:color w:val="auto"/>
          <w:sz w:val="32"/>
          <w:szCs w:val="32"/>
          <w:highlight w:val="none"/>
          <w:lang w:val="en-US" w:eastAsia="zh-CN"/>
        </w:rPr>
        <w:t>：高耗能企业参与实时电价响应，按负荷弹性系数量化调节潜力。</w:t>
      </w:r>
    </w:p>
    <w:p>
      <w:pPr>
        <w:bidi w:val="0"/>
        <w:ind w:left="0" w:leftChars="0" w:firstLine="640" w:firstLineChars="200"/>
        <w:jc w:val="left"/>
        <w:rPr>
          <w:rFonts w:hint="default" w:ascii="Times New Roman" w:hAnsi="Times New Roman" w:eastAsia="方正仿宋_GBK" w:cs="Times New Roman"/>
          <w:b/>
          <w:bCs/>
          <w:color w:val="auto"/>
          <w:sz w:val="32"/>
          <w:szCs w:val="32"/>
          <w:highlight w:val="none"/>
          <w:lang w:val="en-US" w:eastAsia="zh-CN"/>
        </w:rPr>
      </w:pPr>
      <w:r>
        <w:rPr>
          <w:rFonts w:hint="default" w:ascii="Times New Roman" w:hAnsi="Times New Roman" w:eastAsia="方正仿宋_GBK" w:cs="Times New Roman"/>
          <w:color w:val="auto"/>
          <w:kern w:val="2"/>
          <w:sz w:val="32"/>
          <w:szCs w:val="32"/>
          <w:highlight w:val="none"/>
          <w:lang w:val="en-US" w:eastAsia="zh-CN" w:bidi="ar-SA"/>
        </w:rPr>
        <w:t>（2）</w:t>
      </w:r>
      <w:r>
        <w:rPr>
          <w:rFonts w:hint="default" w:ascii="Times New Roman" w:hAnsi="Times New Roman" w:eastAsia="方正仿宋_GBK" w:cs="Times New Roman"/>
          <w:b/>
          <w:bCs/>
          <w:color w:val="auto"/>
          <w:sz w:val="32"/>
          <w:szCs w:val="32"/>
          <w:highlight w:val="none"/>
          <w:lang w:val="en-US" w:eastAsia="zh-CN"/>
        </w:rPr>
        <w:t>启动边界</w:t>
      </w:r>
    </w:p>
    <w:p>
      <w:pPr>
        <w:bidi w:val="0"/>
        <w:jc w:val="left"/>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b/>
          <w:bCs/>
          <w:color w:val="auto"/>
          <w:sz w:val="32"/>
          <w:szCs w:val="32"/>
          <w:highlight w:val="none"/>
          <w:lang w:val="en-US" w:eastAsia="zh-CN"/>
        </w:rPr>
        <w:t>需求响应启动条件。</w:t>
      </w:r>
      <w:r>
        <w:rPr>
          <w:rFonts w:hint="default" w:ascii="Times New Roman" w:hAnsi="Times New Roman" w:eastAsia="方正仿宋_GBK" w:cs="Times New Roman"/>
          <w:b w:val="0"/>
          <w:bCs w:val="0"/>
          <w:color w:val="auto"/>
          <w:sz w:val="32"/>
          <w:szCs w:val="32"/>
          <w:highlight w:val="none"/>
          <w:lang w:val="en-US" w:eastAsia="zh-CN"/>
        </w:rPr>
        <w:t>当</w:t>
      </w:r>
      <w:r>
        <w:rPr>
          <w:rFonts w:hint="eastAsia" w:ascii="Times New Roman" w:hAnsi="Times New Roman" w:eastAsia="方正仿宋_GBK" w:cs="Times New Roman"/>
          <w:b w:val="0"/>
          <w:bCs w:val="0"/>
          <w:color w:val="auto"/>
          <w:sz w:val="32"/>
          <w:szCs w:val="32"/>
          <w:highlight w:val="none"/>
          <w:lang w:val="en-US" w:eastAsia="zh-CN"/>
        </w:rPr>
        <w:t>出现</w:t>
      </w:r>
      <w:r>
        <w:rPr>
          <w:rFonts w:hint="default" w:ascii="Times New Roman" w:hAnsi="Times New Roman" w:eastAsia="方正仿宋_GBK" w:cs="Times New Roman"/>
          <w:b w:val="0"/>
          <w:bCs w:val="0"/>
          <w:color w:val="auto"/>
          <w:sz w:val="32"/>
          <w:szCs w:val="32"/>
          <w:highlight w:val="none"/>
          <w:lang w:val="en-US" w:eastAsia="zh-CN"/>
        </w:rPr>
        <w:t>负荷缺口</w:t>
      </w:r>
      <w:r>
        <w:rPr>
          <w:rFonts w:hint="eastAsia" w:ascii="Times New Roman" w:hAnsi="Times New Roman" w:eastAsia="方正仿宋_GBK" w:cs="Times New Roman"/>
          <w:b w:val="0"/>
          <w:bCs w:val="0"/>
          <w:color w:val="auto"/>
          <w:sz w:val="32"/>
          <w:szCs w:val="32"/>
          <w:highlight w:val="none"/>
          <w:lang w:val="en-US" w:eastAsia="zh-CN"/>
        </w:rPr>
        <w:t>时</w:t>
      </w:r>
      <w:r>
        <w:rPr>
          <w:rFonts w:hint="default" w:ascii="Times New Roman" w:hAnsi="Times New Roman" w:eastAsia="方正仿宋_GBK" w:cs="Times New Roman"/>
          <w:b w:val="0"/>
          <w:bCs w:val="0"/>
          <w:color w:val="auto"/>
          <w:sz w:val="32"/>
          <w:szCs w:val="32"/>
          <w:highlight w:val="none"/>
          <w:lang w:val="en-US" w:eastAsia="zh-CN"/>
        </w:rPr>
        <w:t>，</w:t>
      </w:r>
      <w:r>
        <w:rPr>
          <w:rFonts w:hint="eastAsia" w:ascii="Times New Roman" w:hAnsi="Times New Roman" w:eastAsia="方正仿宋_GBK" w:cs="Times New Roman"/>
          <w:b w:val="0"/>
          <w:bCs w:val="0"/>
          <w:color w:val="auto"/>
          <w:sz w:val="32"/>
          <w:szCs w:val="32"/>
          <w:highlight w:val="none"/>
          <w:lang w:val="en-US" w:eastAsia="zh-CN"/>
        </w:rPr>
        <w:t>经省发改委综合研判通知后，</w:t>
      </w:r>
      <w:r>
        <w:rPr>
          <w:rFonts w:hint="default" w:ascii="Times New Roman" w:hAnsi="Times New Roman" w:eastAsia="方正仿宋_GBK" w:cs="Times New Roman"/>
          <w:b w:val="0"/>
          <w:bCs w:val="0"/>
          <w:color w:val="auto"/>
          <w:sz w:val="32"/>
          <w:szCs w:val="32"/>
          <w:highlight w:val="none"/>
          <w:lang w:val="en-US" w:eastAsia="zh-CN"/>
        </w:rPr>
        <w:t>启动需求响应。优先调用工业可中断负荷（响应快、成本低），其次为</w:t>
      </w:r>
      <w:r>
        <w:rPr>
          <w:rFonts w:hint="eastAsia" w:ascii="Times New Roman" w:hAnsi="Times New Roman" w:eastAsia="方正仿宋_GBK" w:cs="Times New Roman"/>
          <w:b w:val="0"/>
          <w:bCs w:val="0"/>
          <w:color w:val="auto"/>
          <w:sz w:val="32"/>
          <w:szCs w:val="32"/>
          <w:highlight w:val="none"/>
          <w:lang w:val="en-US" w:eastAsia="zh-CN"/>
        </w:rPr>
        <w:t>非工及</w:t>
      </w:r>
      <w:r>
        <w:rPr>
          <w:rFonts w:hint="default" w:ascii="Times New Roman" w:hAnsi="Times New Roman" w:eastAsia="方正仿宋_GBK" w:cs="Times New Roman"/>
          <w:b w:val="0"/>
          <w:bCs w:val="0"/>
          <w:color w:val="auto"/>
          <w:sz w:val="32"/>
          <w:szCs w:val="32"/>
          <w:highlight w:val="none"/>
          <w:lang w:val="en-US" w:eastAsia="zh-CN"/>
        </w:rPr>
        <w:t>商业</w:t>
      </w:r>
      <w:r>
        <w:rPr>
          <w:rFonts w:hint="default" w:ascii="Times New Roman" w:hAnsi="Times New Roman" w:eastAsia="方正仿宋_GBK" w:cs="Times New Roman"/>
          <w:color w:val="auto"/>
          <w:sz w:val="32"/>
          <w:szCs w:val="32"/>
          <w:highlight w:val="none"/>
          <w:lang w:val="en-US" w:eastAsia="zh-CN"/>
        </w:rPr>
        <w:t>柔性负荷。</w:t>
      </w:r>
    </w:p>
    <w:p>
      <w:pPr>
        <w:bidi w:val="0"/>
        <w:jc w:val="left"/>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bCs/>
          <w:color w:val="auto"/>
          <w:sz w:val="32"/>
          <w:szCs w:val="32"/>
          <w:highlight w:val="none"/>
          <w:lang w:val="en-US" w:eastAsia="zh-CN"/>
        </w:rPr>
        <w:t>辅助服务调用规则。</w:t>
      </w:r>
      <w:r>
        <w:rPr>
          <w:rFonts w:hint="default" w:ascii="Times New Roman" w:hAnsi="Times New Roman" w:eastAsia="方正仿宋_GBK" w:cs="Times New Roman"/>
          <w:color w:val="auto"/>
          <w:sz w:val="32"/>
          <w:szCs w:val="32"/>
          <w:highlight w:val="none"/>
          <w:lang w:val="en-US" w:eastAsia="zh-CN"/>
        </w:rPr>
        <w:t>调频需求：系统频率偏差≥0.1Hz时，优先调用储能、电动汽车等秒级资源。备用需求：预测负荷波动率≥3%时，调用火电、虚拟电厂等分</w:t>
      </w:r>
      <w:r>
        <w:rPr>
          <w:rFonts w:hint="default" w:ascii="Times New Roman" w:hAnsi="Times New Roman" w:eastAsia="方正仿宋_GBK" w:cs="Times New Roman"/>
          <w:b w:val="0"/>
          <w:bCs w:val="0"/>
          <w:color w:val="auto"/>
          <w:sz w:val="32"/>
          <w:szCs w:val="32"/>
          <w:highlight w:val="none"/>
          <w:lang w:val="en-US" w:eastAsia="zh-CN"/>
        </w:rPr>
        <w:t>钟级资源。</w:t>
      </w:r>
      <w:r>
        <w:rPr>
          <w:rFonts w:hint="eastAsia" w:ascii="Times New Roman" w:hAnsi="Times New Roman" w:eastAsia="方正仿宋_GBK" w:cs="Times New Roman"/>
          <w:b w:val="0"/>
          <w:bCs w:val="0"/>
          <w:color w:val="auto"/>
          <w:sz w:val="32"/>
          <w:szCs w:val="32"/>
          <w:highlight w:val="none"/>
          <w:lang w:val="en-US" w:eastAsia="zh-CN"/>
        </w:rPr>
        <w:t>（相关调用阈值参照最新标准执行）</w:t>
      </w:r>
    </w:p>
    <w:p>
      <w:pPr>
        <w:bidi w:val="0"/>
        <w:ind w:firstLine="373" w:firstLineChars="0"/>
        <w:jc w:val="left"/>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b/>
          <w:bCs/>
          <w:color w:val="auto"/>
          <w:sz w:val="32"/>
          <w:szCs w:val="32"/>
          <w:highlight w:val="none"/>
          <w:lang w:val="en-US" w:eastAsia="zh-CN"/>
        </w:rPr>
        <w:t>电力现货市场衔接。</w:t>
      </w:r>
      <w:r>
        <w:rPr>
          <w:rFonts w:hint="eastAsia" w:ascii="Times New Roman" w:hAnsi="Times New Roman" w:eastAsia="方正仿宋_GBK" w:cs="Times New Roman"/>
          <w:b w:val="0"/>
          <w:bCs w:val="0"/>
          <w:color w:val="auto"/>
          <w:sz w:val="32"/>
          <w:szCs w:val="32"/>
          <w:highlight w:val="none"/>
          <w:lang w:val="en-US" w:eastAsia="zh-CN"/>
        </w:rPr>
        <w:t>按照省电力交易中心发布的最新现货交易规则执行，</w:t>
      </w:r>
      <w:r>
        <w:rPr>
          <w:rFonts w:hint="default" w:ascii="Times New Roman" w:hAnsi="Times New Roman" w:eastAsia="方正仿宋_GBK" w:cs="Times New Roman"/>
          <w:b w:val="0"/>
          <w:bCs w:val="0"/>
          <w:color w:val="auto"/>
          <w:sz w:val="32"/>
          <w:szCs w:val="32"/>
          <w:highlight w:val="none"/>
          <w:lang w:val="en-US" w:eastAsia="zh-CN"/>
        </w:rPr>
        <w:t>实时电价联动</w:t>
      </w:r>
      <w:r>
        <w:rPr>
          <w:rFonts w:hint="eastAsia" w:ascii="Times New Roman" w:hAnsi="Times New Roman" w:eastAsia="方正仿宋_GBK" w:cs="Times New Roman"/>
          <w:b w:val="0"/>
          <w:bCs w:val="0"/>
          <w:color w:val="auto"/>
          <w:sz w:val="32"/>
          <w:szCs w:val="32"/>
          <w:highlight w:val="none"/>
          <w:lang w:val="en-US" w:eastAsia="zh-CN"/>
        </w:rPr>
        <w:t>：</w:t>
      </w:r>
      <w:r>
        <w:rPr>
          <w:rFonts w:hint="default" w:ascii="Times New Roman" w:hAnsi="Times New Roman" w:eastAsia="方正仿宋_GBK" w:cs="Times New Roman"/>
          <w:b w:val="0"/>
          <w:bCs w:val="0"/>
          <w:color w:val="auto"/>
          <w:sz w:val="32"/>
          <w:szCs w:val="32"/>
          <w:highlight w:val="none"/>
          <w:lang w:val="en-US" w:eastAsia="zh-CN"/>
        </w:rPr>
        <w:t>当现货电价波动超过</w:t>
      </w:r>
      <w:r>
        <w:rPr>
          <w:rFonts w:hint="eastAsia" w:ascii="Times New Roman" w:hAnsi="Times New Roman" w:eastAsia="方正仿宋_GBK" w:cs="Times New Roman"/>
          <w:b w:val="0"/>
          <w:bCs w:val="0"/>
          <w:color w:val="auto"/>
          <w:sz w:val="32"/>
          <w:szCs w:val="32"/>
          <w:highlight w:val="none"/>
          <w:lang w:val="en-US" w:eastAsia="zh-CN"/>
        </w:rPr>
        <w:t>规定阈值时</w:t>
      </w:r>
      <w:r>
        <w:rPr>
          <w:rFonts w:hint="default" w:ascii="Times New Roman" w:hAnsi="Times New Roman" w:eastAsia="方正仿宋_GBK" w:cs="Times New Roman"/>
          <w:b w:val="0"/>
          <w:bCs w:val="0"/>
          <w:color w:val="auto"/>
          <w:sz w:val="32"/>
          <w:szCs w:val="32"/>
          <w:highlight w:val="none"/>
          <w:lang w:val="en-US" w:eastAsia="zh-CN"/>
        </w:rPr>
        <w:t>，自动触发用户侧价格</w:t>
      </w:r>
      <w:r>
        <w:rPr>
          <w:rFonts w:hint="default" w:ascii="Times New Roman" w:hAnsi="Times New Roman" w:eastAsia="方正仿宋_GBK" w:cs="Times New Roman"/>
          <w:color w:val="auto"/>
          <w:sz w:val="32"/>
          <w:szCs w:val="32"/>
          <w:highlight w:val="none"/>
          <w:lang w:val="en-US" w:eastAsia="zh-CN"/>
        </w:rPr>
        <w:t>响应，与需求响应错峰执行。市场优先级：现货市场出清后，剩余调节需求通过辅助服务市场补充。</w:t>
      </w:r>
    </w:p>
    <w:p>
      <w:pPr>
        <w:numPr>
          <w:ilvl w:val="0"/>
          <w:numId w:val="3"/>
        </w:numPr>
        <w:bidi w:val="0"/>
        <w:ind w:left="0" w:leftChars="0" w:firstLine="643" w:firstLineChars="200"/>
        <w:jc w:val="left"/>
        <w:rPr>
          <w:rFonts w:hint="default" w:ascii="Times New Roman" w:hAnsi="Times New Roman" w:eastAsia="方正仿宋_GBK" w:cs="Times New Roman"/>
          <w:b/>
          <w:bCs/>
          <w:color w:val="auto"/>
          <w:sz w:val="32"/>
          <w:szCs w:val="32"/>
          <w:highlight w:val="none"/>
          <w:lang w:val="en-US" w:eastAsia="zh-CN"/>
        </w:rPr>
      </w:pPr>
      <w:r>
        <w:rPr>
          <w:rFonts w:hint="default" w:ascii="Times New Roman" w:hAnsi="Times New Roman" w:eastAsia="方正仿宋_GBK" w:cs="Times New Roman"/>
          <w:b/>
          <w:bCs/>
          <w:color w:val="auto"/>
          <w:sz w:val="32"/>
          <w:szCs w:val="32"/>
          <w:highlight w:val="none"/>
          <w:lang w:val="en-US" w:eastAsia="zh-CN"/>
        </w:rPr>
        <w:t>衔接机制</w:t>
      </w:r>
    </w:p>
    <w:p>
      <w:pPr>
        <w:bidi w:val="0"/>
        <w:jc w:val="left"/>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b/>
          <w:bCs/>
          <w:color w:val="auto"/>
          <w:sz w:val="32"/>
          <w:szCs w:val="32"/>
          <w:highlight w:val="none"/>
          <w:lang w:val="en-US" w:eastAsia="zh-CN"/>
        </w:rPr>
        <w:t>时间维度衔接。</w:t>
      </w:r>
      <w:r>
        <w:rPr>
          <w:rFonts w:hint="default" w:ascii="Times New Roman" w:hAnsi="Times New Roman" w:eastAsia="方正仿宋_GBK" w:cs="Times New Roman"/>
          <w:color w:val="auto"/>
          <w:sz w:val="32"/>
          <w:szCs w:val="32"/>
          <w:highlight w:val="none"/>
          <w:lang w:val="en-US" w:eastAsia="zh-CN"/>
        </w:rPr>
        <w:t>日前-日内分层调用，约定需求响应提前24小时申报，辅助服务按小时滚动调整，现货市场实时出清。同一资源在日内不同时段可切换市场角色（如储能白天参与现货市场，晚间提供调频）。</w:t>
      </w:r>
    </w:p>
    <w:p>
      <w:pPr>
        <w:bidi w:val="0"/>
        <w:jc w:val="left"/>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b/>
          <w:bCs/>
          <w:color w:val="auto"/>
          <w:sz w:val="32"/>
          <w:szCs w:val="32"/>
          <w:highlight w:val="none"/>
          <w:lang w:val="en-US" w:eastAsia="zh-CN"/>
        </w:rPr>
        <w:t>空间维度协调。</w:t>
      </w:r>
      <w:r>
        <w:rPr>
          <w:rFonts w:hint="default" w:ascii="Times New Roman" w:hAnsi="Times New Roman" w:eastAsia="方正仿宋_GBK" w:cs="Times New Roman"/>
          <w:color w:val="auto"/>
          <w:sz w:val="32"/>
          <w:szCs w:val="32"/>
          <w:highlight w:val="none"/>
          <w:lang w:val="en-US" w:eastAsia="zh-CN"/>
        </w:rPr>
        <w:t>分区调节能力精准匹配，按全市各片区（如宿城区、沭阳片区）统计调节能力，跨区资源需标注归属。主网与配网协同：主网侧优先调用大容量资源，配网侧优先消纳分布式资源。</w:t>
      </w:r>
    </w:p>
    <w:p>
      <w:pPr>
        <w:bidi w:val="0"/>
        <w:ind w:firstLine="745" w:firstLineChars="233"/>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color w:val="auto"/>
          <w:sz w:val="32"/>
          <w:szCs w:val="32"/>
          <w:highlight w:val="none"/>
          <w:lang w:val="en-US" w:eastAsia="zh-CN"/>
        </w:rPr>
        <w:t>针对全市电网资源建立统一资源管理台账，将各类资源定义唯一标识，禁止跨市场重复注册。开展动态能力</w:t>
      </w:r>
      <w:r>
        <w:rPr>
          <w:rFonts w:hint="default" w:ascii="Times New Roman" w:hAnsi="Times New Roman" w:eastAsia="方正仿宋_GBK" w:cs="Times New Roman"/>
          <w:sz w:val="32"/>
          <w:szCs w:val="32"/>
          <w:highlight w:val="none"/>
          <w:lang w:val="en-US" w:eastAsia="zh-CN"/>
        </w:rPr>
        <w:t>跟踪，在新型负荷管理系统建立专项资源监测分组，实时更新资源可用调节容量（如储能SOC状态），确保同一容量不跨市场申报。通过上述启动边界和衔接机制，构建全市分层分级、协同高效的电力负荷管理体系，可实现资源调节能力精准匹配、市场间无缝衔接，避免重复统计导致的效率损失。</w:t>
      </w:r>
    </w:p>
    <w:p>
      <w:pPr>
        <w:pStyle w:val="5"/>
        <w:ind w:firstLine="640"/>
        <w:rPr>
          <w:rFonts w:hint="default" w:ascii="Times New Roman" w:hAnsi="Times New Roman" w:eastAsia="方正仿宋_GBK" w:cs="Times New Roman"/>
          <w:color w:val="auto"/>
          <w:sz w:val="32"/>
          <w:szCs w:val="32"/>
          <w:highlight w:val="none"/>
        </w:rPr>
      </w:pPr>
      <w:bookmarkStart w:id="113" w:name="_Toc17040"/>
      <w:bookmarkStart w:id="114" w:name="_Toc30251"/>
      <w:r>
        <w:rPr>
          <w:rFonts w:hint="default" w:ascii="Times New Roman" w:hAnsi="Times New Roman" w:eastAsia="方正仿宋_GBK" w:cs="Times New Roman"/>
          <w:color w:val="auto"/>
          <w:sz w:val="32"/>
          <w:szCs w:val="32"/>
          <w:highlight w:val="none"/>
        </w:rPr>
        <w:t>5.2  负荷分级预警调控情况</w:t>
      </w:r>
      <w:bookmarkEnd w:id="113"/>
      <w:bookmarkEnd w:id="114"/>
    </w:p>
    <w:p>
      <w:pPr>
        <w:keepNext w:val="0"/>
        <w:keepLines w:val="0"/>
        <w:pageBreakBefore w:val="0"/>
        <w:widowControl w:val="0"/>
        <w:kinsoku/>
        <w:wordWrap/>
        <w:overflowPunct/>
        <w:topLinePunct w:val="0"/>
        <w:autoSpaceDE/>
        <w:autoSpaceDN/>
        <w:bidi w:val="0"/>
        <w:adjustRightInd/>
        <w:snapToGrid/>
        <w:spacing w:line="490" w:lineRule="exact"/>
        <w:ind w:firstLine="640"/>
        <w:textAlignment w:val="auto"/>
        <w:rPr>
          <w:rFonts w:hint="eastAsia" w:ascii="Times New Roman" w:hAnsi="Times New Roman" w:eastAsia="方正仿宋_GBK" w:cs="Times New Roman"/>
          <w:color w:val="auto"/>
          <w:sz w:val="32"/>
          <w:szCs w:val="32"/>
          <w:highlight w:val="none"/>
          <w:lang w:eastAsia="zh-CN"/>
        </w:rPr>
      </w:pPr>
      <w:r>
        <w:rPr>
          <w:rFonts w:hint="default" w:ascii="Times New Roman" w:hAnsi="Times New Roman" w:eastAsia="方正仿宋_GBK" w:cs="Times New Roman"/>
          <w:color w:val="auto"/>
          <w:sz w:val="32"/>
          <w:szCs w:val="32"/>
          <w:highlight w:val="none"/>
        </w:rPr>
        <w:t>当电网出现短期电力缺口，优先采取需求响应措施进行调节。当出现连续性电力缺口，且需求响应无法满足调控要求时，按照市发改委通知启动电力负荷</w:t>
      </w:r>
      <w:r>
        <w:rPr>
          <w:rFonts w:hint="eastAsia" w:ascii="Times New Roman" w:hAnsi="Times New Roman" w:eastAsia="方正仿宋_GBK" w:cs="Times New Roman"/>
          <w:color w:val="auto"/>
          <w:sz w:val="32"/>
          <w:szCs w:val="32"/>
          <w:highlight w:val="none"/>
          <w:lang w:eastAsia="zh-CN"/>
        </w:rPr>
        <w:t>管理</w:t>
      </w:r>
      <w:r>
        <w:rPr>
          <w:rFonts w:hint="default" w:ascii="Times New Roman" w:hAnsi="Times New Roman" w:eastAsia="方正仿宋_GBK" w:cs="Times New Roman"/>
          <w:color w:val="auto"/>
          <w:sz w:val="32"/>
          <w:szCs w:val="32"/>
          <w:highlight w:val="none"/>
        </w:rPr>
        <w:t>相关预案，根据缺口及持续时间不同，按照电力或电量缺口占当期最大用电需求比例的不同，负荷管理预警信号分为六个等级：Ⅰ（一）级（25%-30%）、Ⅱ（二）级（20%-25%）；Ⅲ（三）级（15%-20%）、Ⅳ（四）级（10%-15%）、Ⅴ（五）级（5%-10%）、Ⅵ（六）级（5%以下），根据不同预警等级执行不同电力负荷管理预案措施</w:t>
      </w:r>
      <w:r>
        <w:rPr>
          <w:rFonts w:hint="eastAsia" w:ascii="Times New Roman" w:hAnsi="Times New Roman" w:eastAsia="方正仿宋_GBK" w:cs="Times New Roman"/>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highlight w:val="none"/>
          <w:lang w:val="en-US" w:eastAsia="zh-CN"/>
        </w:rPr>
      </w:pPr>
      <w:r>
        <w:rPr>
          <w:rFonts w:hint="default" w:ascii="Times New Roman" w:hAnsi="Times New Roman" w:eastAsia="方正仿宋_GBK" w:cs="Times New Roman"/>
          <w:b w:val="0"/>
          <w:bCs w:val="0"/>
          <w:color w:val="auto"/>
          <w:sz w:val="28"/>
          <w:szCs w:val="28"/>
          <w:highlight w:val="none"/>
          <w:lang w:val="en-US" w:eastAsia="zh-CN"/>
        </w:rPr>
        <w:t>按照宿迁预测的最好负荷的30%进行计算，电力负荷管理方案Ⅰ（一）级（25%</w:t>
      </w:r>
      <w:r>
        <w:rPr>
          <w:rFonts w:hint="eastAsia" w:ascii="Times New Roman" w:hAnsi="Times New Roman" w:eastAsia="方正仿宋_GBK" w:cs="Times New Roman"/>
          <w:b w:val="0"/>
          <w:bCs w:val="0"/>
          <w:color w:val="auto"/>
          <w:sz w:val="28"/>
          <w:szCs w:val="28"/>
          <w:highlight w:val="none"/>
          <w:lang w:val="en-US" w:eastAsia="zh-CN"/>
        </w:rPr>
        <w:t>～</w:t>
      </w:r>
      <w:r>
        <w:rPr>
          <w:rFonts w:hint="default" w:ascii="Times New Roman" w:hAnsi="Times New Roman" w:eastAsia="方正仿宋_GBK" w:cs="Times New Roman"/>
          <w:b w:val="0"/>
          <w:bCs w:val="0"/>
          <w:color w:val="auto"/>
          <w:sz w:val="28"/>
          <w:szCs w:val="28"/>
          <w:highlight w:val="none"/>
          <w:lang w:val="en-US" w:eastAsia="zh-CN"/>
        </w:rPr>
        <w:t>30%）应达到186万kW以上、Ⅱ（二）级（20%</w:t>
      </w:r>
      <w:r>
        <w:rPr>
          <w:rFonts w:hint="eastAsia" w:ascii="Times New Roman" w:hAnsi="Times New Roman" w:eastAsia="方正仿宋_GBK" w:cs="Times New Roman"/>
          <w:b w:val="0"/>
          <w:bCs w:val="0"/>
          <w:color w:val="auto"/>
          <w:sz w:val="28"/>
          <w:szCs w:val="28"/>
          <w:highlight w:val="none"/>
          <w:lang w:val="en-US" w:eastAsia="zh-CN"/>
        </w:rPr>
        <w:t>～</w:t>
      </w:r>
      <w:r>
        <w:rPr>
          <w:rFonts w:hint="default" w:ascii="Times New Roman" w:hAnsi="Times New Roman" w:eastAsia="方正仿宋_GBK" w:cs="Times New Roman"/>
          <w:b w:val="0"/>
          <w:bCs w:val="0"/>
          <w:color w:val="auto"/>
          <w:sz w:val="28"/>
          <w:szCs w:val="28"/>
          <w:highlight w:val="none"/>
          <w:lang w:val="en-US" w:eastAsia="zh-CN"/>
        </w:rPr>
        <w:t>25%）应达到155万kW以上、Ⅲ（三）级（15%</w:t>
      </w:r>
      <w:r>
        <w:rPr>
          <w:rFonts w:hint="eastAsia" w:ascii="Times New Roman" w:hAnsi="Times New Roman" w:eastAsia="方正仿宋_GBK" w:cs="Times New Roman"/>
          <w:b w:val="0"/>
          <w:bCs w:val="0"/>
          <w:color w:val="auto"/>
          <w:sz w:val="28"/>
          <w:szCs w:val="28"/>
          <w:highlight w:val="none"/>
          <w:lang w:val="en-US" w:eastAsia="zh-CN"/>
        </w:rPr>
        <w:t>～</w:t>
      </w:r>
      <w:r>
        <w:rPr>
          <w:rFonts w:hint="default" w:ascii="Times New Roman" w:hAnsi="Times New Roman" w:eastAsia="方正仿宋_GBK" w:cs="Times New Roman"/>
          <w:b w:val="0"/>
          <w:bCs w:val="0"/>
          <w:color w:val="auto"/>
          <w:sz w:val="28"/>
          <w:szCs w:val="28"/>
          <w:highlight w:val="none"/>
          <w:lang w:val="en-US" w:eastAsia="zh-CN"/>
        </w:rPr>
        <w:t>20%）应达到124万kW以上、Ⅳ（四）级（10%</w:t>
      </w:r>
      <w:r>
        <w:rPr>
          <w:rFonts w:hint="eastAsia" w:ascii="Times New Roman" w:hAnsi="Times New Roman" w:eastAsia="方正仿宋_GBK" w:cs="Times New Roman"/>
          <w:b w:val="0"/>
          <w:bCs w:val="0"/>
          <w:color w:val="auto"/>
          <w:sz w:val="28"/>
          <w:szCs w:val="28"/>
          <w:highlight w:val="none"/>
          <w:lang w:val="en-US" w:eastAsia="zh-CN"/>
        </w:rPr>
        <w:t>～</w:t>
      </w:r>
      <w:r>
        <w:rPr>
          <w:rFonts w:hint="default" w:ascii="Times New Roman" w:hAnsi="Times New Roman" w:eastAsia="方正仿宋_GBK" w:cs="Times New Roman"/>
          <w:b w:val="0"/>
          <w:bCs w:val="0"/>
          <w:color w:val="auto"/>
          <w:sz w:val="28"/>
          <w:szCs w:val="28"/>
          <w:highlight w:val="none"/>
          <w:lang w:val="en-US" w:eastAsia="zh-CN"/>
        </w:rPr>
        <w:t>15%）应达到93万kW以上、Ⅴ（五）级（5%</w:t>
      </w:r>
      <w:r>
        <w:rPr>
          <w:rFonts w:hint="eastAsia" w:ascii="Times New Roman" w:hAnsi="Times New Roman" w:eastAsia="方正仿宋_GBK" w:cs="Times New Roman"/>
          <w:b w:val="0"/>
          <w:bCs w:val="0"/>
          <w:color w:val="auto"/>
          <w:sz w:val="28"/>
          <w:szCs w:val="28"/>
          <w:highlight w:val="none"/>
          <w:lang w:val="en-US" w:eastAsia="zh-CN"/>
        </w:rPr>
        <w:t>～</w:t>
      </w:r>
      <w:r>
        <w:rPr>
          <w:rFonts w:hint="default" w:ascii="Times New Roman" w:hAnsi="Times New Roman" w:eastAsia="方正仿宋_GBK" w:cs="Times New Roman"/>
          <w:b w:val="0"/>
          <w:bCs w:val="0"/>
          <w:color w:val="auto"/>
          <w:sz w:val="28"/>
          <w:szCs w:val="28"/>
          <w:highlight w:val="none"/>
          <w:lang w:val="en-US" w:eastAsia="zh-CN"/>
        </w:rPr>
        <w:t>10%）应达到62万kW以上、Ⅵ（六）级（5%以下）应达到31万kW以上。</w:t>
      </w:r>
    </w:p>
    <w:p>
      <w:pPr>
        <w:keepNext w:val="0"/>
        <w:keepLines w:val="0"/>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pacing w:val="-6"/>
          <w:sz w:val="32"/>
          <w:szCs w:val="32"/>
          <w:highlight w:val="none"/>
        </w:rPr>
      </w:pPr>
      <w:r>
        <w:rPr>
          <w:rFonts w:hint="default" w:ascii="Times New Roman" w:hAnsi="Times New Roman" w:eastAsia="方正仿宋_GBK" w:cs="Times New Roman"/>
          <w:b/>
          <w:bCs/>
          <w:color w:val="auto"/>
          <w:sz w:val="32"/>
          <w:szCs w:val="32"/>
          <w:highlight w:val="none"/>
          <w:lang w:val="en-US" w:eastAsia="zh-CN"/>
        </w:rPr>
        <w:t>低于8万千瓦电力缺口策略。</w:t>
      </w:r>
      <w:r>
        <w:rPr>
          <w:rFonts w:hint="default" w:ascii="Times New Roman" w:hAnsi="Times New Roman" w:eastAsia="方正仿宋_GBK" w:cs="Times New Roman"/>
          <w:color w:val="auto"/>
          <w:sz w:val="32"/>
          <w:szCs w:val="32"/>
          <w:highlight w:val="none"/>
          <w:lang w:val="en-US" w:eastAsia="zh-CN"/>
        </w:rPr>
        <w:t>加强</w:t>
      </w:r>
      <w:r>
        <w:rPr>
          <w:rFonts w:hint="default" w:ascii="Times New Roman" w:hAnsi="Times New Roman" w:eastAsia="方正仿宋_GBK" w:cs="Times New Roman"/>
          <w:color w:val="auto"/>
          <w:sz w:val="32"/>
          <w:szCs w:val="32"/>
          <w:highlight w:val="none"/>
        </w:rPr>
        <w:t>空调调控，重点依托柔性调节手段进行空调负荷</w:t>
      </w:r>
      <w:r>
        <w:rPr>
          <w:rFonts w:hint="default" w:ascii="Times New Roman" w:hAnsi="Times New Roman" w:eastAsia="方正仿宋_GBK" w:cs="Times New Roman"/>
          <w:color w:val="auto"/>
          <w:sz w:val="32"/>
          <w:szCs w:val="32"/>
          <w:highlight w:val="none"/>
          <w:lang w:val="en-US" w:eastAsia="zh-CN"/>
        </w:rPr>
        <w:t>方案</w:t>
      </w:r>
      <w:r>
        <w:rPr>
          <w:rFonts w:hint="default" w:ascii="Times New Roman" w:hAnsi="Times New Roman" w:eastAsia="方正仿宋_GBK" w:cs="Times New Roman"/>
          <w:color w:val="auto"/>
          <w:sz w:val="32"/>
          <w:szCs w:val="32"/>
          <w:highlight w:val="none"/>
        </w:rPr>
        <w:t>（对于</w:t>
      </w:r>
      <w:r>
        <w:rPr>
          <w:rFonts w:hint="default" w:ascii="Times New Roman" w:hAnsi="Times New Roman" w:eastAsia="方正仿宋_GBK" w:cs="Times New Roman"/>
          <w:color w:val="auto"/>
          <w:sz w:val="32"/>
          <w:szCs w:val="32"/>
          <w:highlight w:val="none"/>
          <w:lang w:val="en-US" w:eastAsia="zh-CN"/>
        </w:rPr>
        <w:t>94</w:t>
      </w:r>
      <w:r>
        <w:rPr>
          <w:rFonts w:hint="default" w:ascii="Times New Roman" w:hAnsi="Times New Roman" w:eastAsia="方正仿宋_GBK" w:cs="Times New Roman"/>
          <w:color w:val="auto"/>
          <w:sz w:val="32"/>
          <w:szCs w:val="32"/>
          <w:highlight w:val="none"/>
        </w:rPr>
        <w:t>户实施过智慧调控能力建设的楼宇，负荷紧张时期可采取刚性控制措施），</w:t>
      </w:r>
      <w:r>
        <w:rPr>
          <w:rFonts w:hint="default" w:ascii="Times New Roman" w:hAnsi="Times New Roman" w:eastAsia="方正仿宋_GBK" w:cs="Times New Roman"/>
          <w:color w:val="auto"/>
          <w:sz w:val="32"/>
          <w:szCs w:val="32"/>
          <w:highlight w:val="none"/>
          <w:lang w:val="en-US" w:eastAsia="zh-CN"/>
        </w:rPr>
        <w:t>对重点楼宇开展负荷监测，</w:t>
      </w:r>
      <w:r>
        <w:rPr>
          <w:rFonts w:hint="default" w:ascii="Times New Roman" w:hAnsi="Times New Roman" w:eastAsia="方正仿宋_GBK" w:cs="Times New Roman"/>
          <w:color w:val="auto"/>
          <w:sz w:val="32"/>
          <w:szCs w:val="32"/>
          <w:highlight w:val="none"/>
        </w:rPr>
        <w:t>消纳</w:t>
      </w:r>
      <w:r>
        <w:rPr>
          <w:rFonts w:hint="default" w:ascii="Times New Roman" w:hAnsi="Times New Roman" w:eastAsia="方正仿宋_GBK" w:cs="Times New Roman"/>
          <w:color w:val="auto"/>
          <w:sz w:val="32"/>
          <w:szCs w:val="32"/>
          <w:highlight w:val="none"/>
          <w:lang w:eastAsia="zh-CN"/>
        </w:rPr>
        <w:t>电力缺口</w:t>
      </w:r>
      <w:r>
        <w:rPr>
          <w:rFonts w:hint="default" w:ascii="Times New Roman" w:hAnsi="Times New Roman" w:eastAsia="方正仿宋_GBK" w:cs="Times New Roman"/>
          <w:color w:val="auto"/>
          <w:sz w:val="32"/>
          <w:szCs w:val="32"/>
          <w:highlight w:val="none"/>
          <w:lang w:val="en-US" w:eastAsia="zh-CN"/>
        </w:rPr>
        <w:t>1</w:t>
      </w:r>
      <w:r>
        <w:rPr>
          <w:rFonts w:hint="default" w:ascii="Times New Roman" w:hAnsi="Times New Roman" w:eastAsia="方正仿宋_GBK" w:cs="Times New Roman"/>
          <w:color w:val="auto"/>
          <w:sz w:val="32"/>
          <w:szCs w:val="32"/>
          <w:highlight w:val="none"/>
        </w:rPr>
        <w:t>万千瓦</w:t>
      </w:r>
      <w:r>
        <w:rPr>
          <w:rFonts w:hint="default" w:ascii="Times New Roman" w:hAnsi="Times New Roman" w:eastAsia="方正仿宋_GBK" w:cs="Times New Roman"/>
          <w:color w:val="auto"/>
          <w:sz w:val="32"/>
          <w:szCs w:val="32"/>
          <w:highlight w:val="none"/>
          <w:lang w:val="en-US" w:eastAsia="zh-CN"/>
        </w:rPr>
        <w:t>以上</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b/>
          <w:bCs/>
          <w:color w:val="auto"/>
          <w:sz w:val="32"/>
          <w:szCs w:val="32"/>
          <w:highlight w:val="none"/>
          <w:lang w:val="en-US" w:eastAsia="zh-CN"/>
        </w:rPr>
        <w:t>压降</w:t>
      </w:r>
      <w:r>
        <w:rPr>
          <w:rFonts w:hint="default" w:ascii="Times New Roman" w:hAnsi="Times New Roman" w:eastAsia="方正仿宋_GBK" w:cs="Times New Roman"/>
          <w:b/>
          <w:bCs/>
          <w:color w:val="auto"/>
          <w:sz w:val="32"/>
          <w:szCs w:val="32"/>
          <w:highlight w:val="none"/>
        </w:rPr>
        <w:t>亮化</w:t>
      </w:r>
      <w:r>
        <w:rPr>
          <w:rFonts w:hint="default" w:ascii="Times New Roman" w:hAnsi="Times New Roman" w:eastAsia="方正仿宋_GBK" w:cs="Times New Roman"/>
          <w:b/>
          <w:bCs/>
          <w:color w:val="auto"/>
          <w:sz w:val="32"/>
          <w:szCs w:val="32"/>
          <w:highlight w:val="none"/>
          <w:lang w:val="en-US" w:eastAsia="zh-CN"/>
        </w:rPr>
        <w:t>用电需求</w:t>
      </w:r>
      <w:r>
        <w:rPr>
          <w:rFonts w:hint="default" w:ascii="Times New Roman" w:hAnsi="Times New Roman" w:eastAsia="方正仿宋_GBK" w:cs="Times New Roman"/>
          <w:b/>
          <w:bCs/>
          <w:color w:val="auto"/>
          <w:sz w:val="32"/>
          <w:szCs w:val="32"/>
          <w:highlight w:val="none"/>
        </w:rPr>
        <w:t>，</w:t>
      </w:r>
      <w:r>
        <w:rPr>
          <w:rFonts w:hint="default" w:ascii="Times New Roman" w:hAnsi="Times New Roman" w:eastAsia="方正仿宋_GBK" w:cs="Times New Roman"/>
          <w:color w:val="auto"/>
          <w:sz w:val="32"/>
          <w:szCs w:val="32"/>
          <w:highlight w:val="none"/>
        </w:rPr>
        <w:t>由路灯管理所、住建等部门将路灯亮化、景观照明等按照预案要求执行减半开启等措施，晚峰可消纳</w:t>
      </w:r>
      <w:r>
        <w:rPr>
          <w:rFonts w:hint="default" w:ascii="Times New Roman" w:hAnsi="Times New Roman" w:eastAsia="方正仿宋_GBK" w:cs="Times New Roman"/>
          <w:color w:val="auto"/>
          <w:sz w:val="32"/>
          <w:szCs w:val="32"/>
          <w:highlight w:val="none"/>
          <w:lang w:eastAsia="zh-CN"/>
        </w:rPr>
        <w:t>电力缺口</w:t>
      </w:r>
      <w:r>
        <w:rPr>
          <w:rFonts w:hint="default" w:ascii="Times New Roman" w:hAnsi="Times New Roman" w:eastAsia="方正仿宋_GBK" w:cs="Times New Roman"/>
          <w:color w:val="auto"/>
          <w:sz w:val="32"/>
          <w:szCs w:val="32"/>
          <w:highlight w:val="none"/>
          <w:lang w:val="en-US" w:eastAsia="zh-CN"/>
        </w:rPr>
        <w:t>2.5</w:t>
      </w:r>
      <w:r>
        <w:rPr>
          <w:rFonts w:hint="default" w:ascii="Times New Roman" w:hAnsi="Times New Roman" w:eastAsia="方正仿宋_GBK" w:cs="Times New Roman"/>
          <w:color w:val="auto"/>
          <w:sz w:val="32"/>
          <w:szCs w:val="32"/>
          <w:highlight w:val="none"/>
        </w:rPr>
        <w:t>万千瓦；</w:t>
      </w:r>
      <w:r>
        <w:rPr>
          <w:rFonts w:hint="default" w:ascii="Times New Roman" w:hAnsi="Times New Roman" w:eastAsia="方正仿宋_GBK" w:cs="Times New Roman"/>
          <w:b/>
          <w:bCs/>
          <w:color w:val="auto"/>
          <w:sz w:val="32"/>
          <w:szCs w:val="32"/>
          <w:highlight w:val="none"/>
        </w:rPr>
        <w:t>充电桩管理方面</w:t>
      </w:r>
      <w:r>
        <w:rPr>
          <w:rFonts w:hint="default" w:ascii="Times New Roman" w:hAnsi="Times New Roman" w:eastAsia="方正仿宋_GBK" w:cs="Times New Roman"/>
          <w:color w:val="auto"/>
          <w:sz w:val="32"/>
          <w:szCs w:val="32"/>
          <w:highlight w:val="none"/>
        </w:rPr>
        <w:t>，对于公司资产供公交车使用的充电桩，通过与电动汽车公司沟通，通过技术手段实现错峰充电，对于政府投资的公交充电桩，由行政管理单位进行统一要求错峰充电，可消纳</w:t>
      </w:r>
      <w:r>
        <w:rPr>
          <w:rFonts w:hint="default" w:ascii="Times New Roman" w:hAnsi="Times New Roman" w:eastAsia="方正仿宋_GBK" w:cs="Times New Roman"/>
          <w:color w:val="auto"/>
          <w:sz w:val="32"/>
          <w:szCs w:val="32"/>
          <w:highlight w:val="none"/>
          <w:lang w:eastAsia="zh-CN"/>
        </w:rPr>
        <w:t>电力缺口</w:t>
      </w:r>
      <w:r>
        <w:rPr>
          <w:rFonts w:hint="default" w:ascii="Times New Roman" w:hAnsi="Times New Roman" w:eastAsia="方正仿宋_GBK" w:cs="Times New Roman"/>
          <w:b/>
          <w:bCs/>
          <w:color w:val="auto"/>
          <w:sz w:val="32"/>
          <w:szCs w:val="32"/>
          <w:highlight w:val="none"/>
        </w:rPr>
        <w:t>0.</w:t>
      </w:r>
      <w:r>
        <w:rPr>
          <w:rFonts w:hint="default" w:ascii="Times New Roman" w:hAnsi="Times New Roman" w:eastAsia="方正仿宋_GBK" w:cs="Times New Roman"/>
          <w:b/>
          <w:bCs/>
          <w:color w:val="auto"/>
          <w:sz w:val="32"/>
          <w:szCs w:val="32"/>
          <w:highlight w:val="none"/>
          <w:lang w:val="en-US" w:eastAsia="zh-CN"/>
        </w:rPr>
        <w:t>5</w:t>
      </w:r>
      <w:r>
        <w:rPr>
          <w:rFonts w:hint="default" w:ascii="Times New Roman" w:hAnsi="Times New Roman" w:eastAsia="方正仿宋_GBK" w:cs="Times New Roman"/>
          <w:b/>
          <w:bCs/>
          <w:color w:val="auto"/>
          <w:sz w:val="32"/>
          <w:szCs w:val="32"/>
          <w:highlight w:val="none"/>
        </w:rPr>
        <w:t>万千瓦</w:t>
      </w:r>
      <w:r>
        <w:rPr>
          <w:rFonts w:hint="default" w:ascii="Times New Roman" w:hAnsi="Times New Roman" w:eastAsia="方正仿宋_GBK" w:cs="Times New Roman"/>
          <w:b/>
          <w:bCs/>
          <w:color w:val="auto"/>
          <w:sz w:val="32"/>
          <w:szCs w:val="32"/>
          <w:highlight w:val="none"/>
          <w:lang w:val="en-US" w:eastAsia="zh-CN"/>
        </w:rPr>
        <w:t>以上</w:t>
      </w:r>
      <w:r>
        <w:rPr>
          <w:rFonts w:hint="default" w:ascii="Times New Roman" w:hAnsi="Times New Roman" w:eastAsia="方正仿宋_GBK" w:cs="Times New Roman"/>
          <w:b/>
          <w:bCs/>
          <w:color w:val="auto"/>
          <w:sz w:val="32"/>
          <w:szCs w:val="32"/>
          <w:highlight w:val="none"/>
        </w:rPr>
        <w:t>；</w:t>
      </w:r>
      <w:r>
        <w:rPr>
          <w:rFonts w:hint="default" w:ascii="Times New Roman" w:hAnsi="Times New Roman" w:eastAsia="方正仿宋_GBK" w:cs="Times New Roman"/>
          <w:b/>
          <w:bCs/>
          <w:color w:val="auto"/>
          <w:sz w:val="32"/>
          <w:szCs w:val="32"/>
          <w:highlight w:val="none"/>
          <w:lang w:val="en-US" w:eastAsia="zh-CN"/>
        </w:rPr>
        <w:t>需求侧</w:t>
      </w:r>
      <w:r>
        <w:rPr>
          <w:rFonts w:hint="default" w:ascii="Times New Roman" w:hAnsi="Times New Roman" w:eastAsia="方正仿宋_GBK" w:cs="Times New Roman"/>
          <w:b/>
          <w:bCs/>
          <w:color w:val="auto"/>
          <w:sz w:val="32"/>
          <w:szCs w:val="32"/>
          <w:highlight w:val="none"/>
        </w:rPr>
        <w:t>储能调节方面，</w:t>
      </w:r>
      <w:r>
        <w:rPr>
          <w:rFonts w:hint="default" w:ascii="Times New Roman" w:hAnsi="Times New Roman" w:eastAsia="方正仿宋_GBK" w:cs="Times New Roman"/>
          <w:color w:val="auto"/>
          <w:sz w:val="32"/>
          <w:szCs w:val="32"/>
          <w:highlight w:val="none"/>
        </w:rPr>
        <w:t>对</w:t>
      </w:r>
      <w:r>
        <w:rPr>
          <w:rFonts w:hint="default" w:ascii="Times New Roman" w:hAnsi="Times New Roman" w:eastAsia="方正仿宋_GBK" w:cs="Times New Roman"/>
          <w:color w:val="auto"/>
          <w:sz w:val="32"/>
          <w:szCs w:val="32"/>
          <w:highlight w:val="none"/>
          <w:lang w:val="en-US" w:eastAsia="zh-CN"/>
        </w:rPr>
        <w:t>桐昆、</w:t>
      </w:r>
      <w:r>
        <w:rPr>
          <w:rFonts w:hint="default" w:ascii="Times New Roman" w:hAnsi="Times New Roman" w:eastAsia="方正仿宋_GBK" w:cs="Times New Roman"/>
          <w:color w:val="auto"/>
          <w:sz w:val="32"/>
          <w:szCs w:val="32"/>
          <w:highlight w:val="none"/>
        </w:rPr>
        <w:t>惠然、天合、百威啤酒等</w:t>
      </w:r>
      <w:r>
        <w:rPr>
          <w:rFonts w:hint="default" w:ascii="Times New Roman" w:hAnsi="Times New Roman" w:eastAsia="方正仿宋_GBK" w:cs="Times New Roman"/>
          <w:color w:val="auto"/>
          <w:sz w:val="32"/>
          <w:szCs w:val="32"/>
          <w:highlight w:val="none"/>
          <w:lang w:val="en-US" w:eastAsia="zh-CN"/>
        </w:rPr>
        <w:t>12户需求</w:t>
      </w:r>
      <w:r>
        <w:rPr>
          <w:rFonts w:hint="default" w:ascii="Times New Roman" w:hAnsi="Times New Roman" w:eastAsia="方正仿宋_GBK" w:cs="Times New Roman"/>
          <w:color w:val="auto"/>
          <w:sz w:val="32"/>
          <w:szCs w:val="32"/>
          <w:highlight w:val="none"/>
        </w:rPr>
        <w:t>侧储能负荷进行调控，根据</w:t>
      </w:r>
      <w:r>
        <w:rPr>
          <w:rFonts w:hint="default" w:ascii="Times New Roman" w:hAnsi="Times New Roman" w:eastAsia="方正仿宋_GBK" w:cs="Times New Roman"/>
          <w:color w:val="auto"/>
          <w:sz w:val="32"/>
          <w:szCs w:val="32"/>
          <w:highlight w:val="none"/>
          <w:lang w:eastAsia="zh-CN"/>
        </w:rPr>
        <w:t>电力缺口</w:t>
      </w:r>
      <w:r>
        <w:rPr>
          <w:rFonts w:hint="default" w:ascii="Times New Roman" w:hAnsi="Times New Roman" w:eastAsia="方正仿宋_GBK" w:cs="Times New Roman"/>
          <w:color w:val="auto"/>
          <w:sz w:val="32"/>
          <w:szCs w:val="32"/>
          <w:highlight w:val="none"/>
        </w:rPr>
        <w:t>时段修改放电时间，可</w:t>
      </w:r>
      <w:r>
        <w:rPr>
          <w:rFonts w:hint="default" w:ascii="Times New Roman" w:hAnsi="Times New Roman" w:eastAsia="方正仿宋_GBK" w:cs="Times New Roman"/>
          <w:color w:val="auto"/>
          <w:sz w:val="32"/>
          <w:szCs w:val="32"/>
          <w:highlight w:val="none"/>
          <w:lang w:val="en-US" w:eastAsia="zh-CN"/>
        </w:rPr>
        <w:t>削减</w:t>
      </w:r>
      <w:r>
        <w:rPr>
          <w:rFonts w:hint="default" w:ascii="Times New Roman" w:hAnsi="Times New Roman" w:eastAsia="方正仿宋_GBK" w:cs="Times New Roman"/>
          <w:color w:val="auto"/>
          <w:sz w:val="32"/>
          <w:szCs w:val="32"/>
          <w:highlight w:val="none"/>
        </w:rPr>
        <w:t>负荷</w:t>
      </w:r>
      <w:r>
        <w:rPr>
          <w:rFonts w:hint="default" w:ascii="Times New Roman" w:hAnsi="Times New Roman" w:eastAsia="方正仿宋_GBK" w:cs="Times New Roman"/>
          <w:color w:val="auto"/>
          <w:sz w:val="32"/>
          <w:szCs w:val="32"/>
          <w:highlight w:val="none"/>
          <w:lang w:val="en-US" w:eastAsia="zh-CN"/>
        </w:rPr>
        <w:t>3</w:t>
      </w:r>
      <w:r>
        <w:rPr>
          <w:rFonts w:hint="default" w:ascii="Times New Roman" w:hAnsi="Times New Roman" w:eastAsia="方正仿宋_GBK" w:cs="Times New Roman"/>
          <w:b/>
          <w:bCs/>
          <w:color w:val="auto"/>
          <w:sz w:val="32"/>
          <w:szCs w:val="32"/>
          <w:highlight w:val="none"/>
        </w:rPr>
        <w:t>万千瓦</w:t>
      </w:r>
      <w:r>
        <w:rPr>
          <w:rFonts w:hint="default" w:ascii="Times New Roman" w:hAnsi="Times New Roman" w:eastAsia="方正仿宋_GBK" w:cs="Times New Roman"/>
          <w:b/>
          <w:bCs/>
          <w:color w:val="auto"/>
          <w:sz w:val="32"/>
          <w:szCs w:val="32"/>
          <w:highlight w:val="none"/>
          <w:lang w:val="en-US" w:eastAsia="zh-CN"/>
        </w:rPr>
        <w:t>左右</w:t>
      </w:r>
      <w:r>
        <w:rPr>
          <w:rFonts w:hint="default" w:ascii="Times New Roman" w:hAnsi="Times New Roman" w:eastAsia="方正仿宋_GBK" w:cs="Times New Roman"/>
          <w:b/>
          <w:bCs/>
          <w:color w:val="auto"/>
          <w:sz w:val="32"/>
          <w:szCs w:val="32"/>
          <w:highlight w:val="none"/>
        </w:rPr>
        <w:t>；综上，总计可消纳</w:t>
      </w:r>
      <w:r>
        <w:rPr>
          <w:rFonts w:hint="default" w:ascii="Times New Roman" w:hAnsi="Times New Roman" w:eastAsia="方正仿宋_GBK" w:cs="Times New Roman"/>
          <w:b/>
          <w:bCs/>
          <w:color w:val="auto"/>
          <w:sz w:val="32"/>
          <w:szCs w:val="32"/>
          <w:highlight w:val="none"/>
          <w:lang w:eastAsia="zh-CN"/>
        </w:rPr>
        <w:t>电</w:t>
      </w:r>
      <w:r>
        <w:rPr>
          <w:rFonts w:hint="default" w:ascii="Times New Roman" w:hAnsi="Times New Roman" w:eastAsia="方正仿宋_GBK" w:cs="Times New Roman"/>
          <w:b/>
          <w:bCs/>
          <w:color w:val="auto"/>
          <w:spacing w:val="-6"/>
          <w:sz w:val="32"/>
          <w:szCs w:val="32"/>
          <w:highlight w:val="none"/>
          <w:lang w:eastAsia="zh-CN"/>
        </w:rPr>
        <w:t>力缺口</w:t>
      </w:r>
      <w:r>
        <w:rPr>
          <w:rFonts w:hint="default" w:ascii="Times New Roman" w:hAnsi="Times New Roman" w:eastAsia="方正仿宋_GBK" w:cs="Times New Roman"/>
          <w:b/>
          <w:bCs/>
          <w:color w:val="auto"/>
          <w:spacing w:val="-6"/>
          <w:sz w:val="32"/>
          <w:szCs w:val="32"/>
          <w:highlight w:val="none"/>
          <w:lang w:val="en-US" w:eastAsia="zh-CN"/>
        </w:rPr>
        <w:t>8</w:t>
      </w:r>
      <w:r>
        <w:rPr>
          <w:rFonts w:hint="default" w:ascii="Times New Roman" w:hAnsi="Times New Roman" w:eastAsia="方正仿宋_GBK" w:cs="Times New Roman"/>
          <w:b/>
          <w:bCs/>
          <w:color w:val="auto"/>
          <w:spacing w:val="-6"/>
          <w:sz w:val="32"/>
          <w:szCs w:val="32"/>
          <w:highlight w:val="none"/>
        </w:rPr>
        <w:t>万千瓦，并且此种措施下，不会对工业生产造成影响。</w:t>
      </w:r>
    </w:p>
    <w:p>
      <w:pPr>
        <w:keepNext w:val="0"/>
        <w:keepLines w:val="0"/>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Ⅵ级：</w:t>
      </w:r>
      <w:r>
        <w:rPr>
          <w:rFonts w:hint="eastAsia" w:ascii="Times New Roman" w:hAnsi="Times New Roman" w:eastAsia="方正仿宋_GBK" w:cs="Times New Roman"/>
          <w:b/>
          <w:bCs/>
          <w:color w:val="auto"/>
          <w:sz w:val="32"/>
          <w:szCs w:val="32"/>
          <w:highlight w:val="none"/>
          <w:lang w:eastAsia="zh-CN"/>
        </w:rPr>
        <w:t>电力</w:t>
      </w:r>
      <w:r>
        <w:rPr>
          <w:rFonts w:hint="default" w:ascii="Times New Roman" w:hAnsi="Times New Roman" w:eastAsia="方正仿宋_GBK" w:cs="Times New Roman"/>
          <w:b/>
          <w:bCs/>
          <w:color w:val="auto"/>
          <w:sz w:val="32"/>
          <w:szCs w:val="32"/>
          <w:highlight w:val="none"/>
          <w:lang w:eastAsia="zh-CN"/>
        </w:rPr>
        <w:t>缺口</w:t>
      </w:r>
      <w:r>
        <w:rPr>
          <w:rFonts w:hint="default" w:ascii="Times New Roman" w:hAnsi="Times New Roman" w:eastAsia="方正仿宋_GBK" w:cs="Times New Roman"/>
          <w:b/>
          <w:bCs/>
          <w:color w:val="auto"/>
          <w:sz w:val="32"/>
          <w:szCs w:val="32"/>
          <w:highlight w:val="none"/>
          <w:lang w:val="en-US" w:eastAsia="zh-CN"/>
        </w:rPr>
        <w:t>31</w:t>
      </w:r>
      <w:r>
        <w:rPr>
          <w:rFonts w:hint="default" w:ascii="Times New Roman" w:hAnsi="Times New Roman" w:eastAsia="方正仿宋_GBK" w:cs="Times New Roman"/>
          <w:b/>
          <w:bCs/>
          <w:color w:val="auto"/>
          <w:sz w:val="32"/>
          <w:szCs w:val="32"/>
          <w:highlight w:val="none"/>
        </w:rPr>
        <w:t>万千瓦以内</w:t>
      </w:r>
    </w:p>
    <w:p>
      <w:pPr>
        <w:keepNext w:val="0"/>
        <w:keepLines w:val="0"/>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lang w:val="en-US" w:eastAsia="zh-CN"/>
        </w:rPr>
        <w:t>1</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lang w:val="en-US" w:eastAsia="zh-CN"/>
        </w:rPr>
        <w:t>短期电力缺口</w:t>
      </w:r>
    </w:p>
    <w:p>
      <w:pPr>
        <w:keepNext w:val="0"/>
        <w:keepLines w:val="0"/>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pacing w:val="-6"/>
          <w:sz w:val="32"/>
          <w:szCs w:val="32"/>
          <w:highlight w:val="none"/>
          <w:lang w:val="en-US" w:eastAsia="zh-CN"/>
        </w:rPr>
      </w:pPr>
      <w:r>
        <w:rPr>
          <w:rFonts w:hint="default" w:ascii="Times New Roman" w:hAnsi="Times New Roman" w:eastAsia="方正仿宋_GBK" w:cs="Times New Roman"/>
          <w:b/>
          <w:bCs/>
          <w:color w:val="auto"/>
          <w:sz w:val="32"/>
          <w:szCs w:val="32"/>
          <w:highlight w:val="none"/>
          <w:lang w:eastAsia="zh-CN"/>
        </w:rPr>
        <w:t>电力缺口</w:t>
      </w:r>
      <w:r>
        <w:rPr>
          <w:rFonts w:hint="default" w:ascii="Times New Roman" w:hAnsi="Times New Roman" w:eastAsia="方正仿宋_GBK" w:cs="Times New Roman"/>
          <w:b/>
          <w:bCs/>
          <w:color w:val="auto"/>
          <w:sz w:val="32"/>
          <w:szCs w:val="32"/>
          <w:highlight w:val="none"/>
        </w:rPr>
        <w:t>在8万千瓦</w:t>
      </w:r>
      <w:r>
        <w:rPr>
          <w:rFonts w:hint="default" w:ascii="Times New Roman" w:hAnsi="Times New Roman" w:eastAsia="方正仿宋_GBK" w:cs="Times New Roman"/>
          <w:b/>
          <w:bCs/>
          <w:color w:val="auto"/>
          <w:sz w:val="32"/>
          <w:szCs w:val="32"/>
          <w:highlight w:val="none"/>
          <w:lang w:val="en-US" w:eastAsia="zh-CN"/>
        </w:rPr>
        <w:t>以上</w:t>
      </w:r>
      <w:r>
        <w:rPr>
          <w:rFonts w:hint="default" w:ascii="Times New Roman" w:hAnsi="Times New Roman" w:eastAsia="方正仿宋_GBK" w:cs="Times New Roman"/>
          <w:b/>
          <w:bCs/>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启动需求响应方案（空调负荷与高耗能优先），按1.5倍</w:t>
      </w:r>
      <w:r>
        <w:rPr>
          <w:rFonts w:hint="default" w:ascii="Times New Roman" w:hAnsi="Times New Roman" w:eastAsia="方正仿宋_GBK" w:cs="Times New Roman"/>
          <w:color w:val="auto"/>
          <w:sz w:val="32"/>
          <w:szCs w:val="32"/>
          <w:highlight w:val="none"/>
          <w:lang w:eastAsia="zh-CN"/>
        </w:rPr>
        <w:t>电力缺口</w:t>
      </w:r>
      <w:r>
        <w:rPr>
          <w:rFonts w:hint="default" w:ascii="Times New Roman" w:hAnsi="Times New Roman" w:eastAsia="方正仿宋_GBK" w:cs="Times New Roman"/>
          <w:color w:val="auto"/>
          <w:sz w:val="32"/>
          <w:szCs w:val="32"/>
          <w:highlight w:val="none"/>
        </w:rPr>
        <w:t>邀约，当发现确认参与响应量不足时，追加邀约组别，确保应约响应量覆盖电力缺口；或安排高耗能分组用户，通过快上快下错避峰措施调节尖峰负荷；或投入高耗</w:t>
      </w:r>
      <w:r>
        <w:rPr>
          <w:rFonts w:hint="eastAsia" w:ascii="Times New Roman" w:hAnsi="Times New Roman" w:eastAsia="方正仿宋_GBK" w:cs="Times New Roman"/>
          <w:color w:val="auto"/>
          <w:sz w:val="32"/>
          <w:szCs w:val="32"/>
          <w:highlight w:val="none"/>
          <w:lang w:eastAsia="zh-CN"/>
        </w:rPr>
        <w:t>能分</w:t>
      </w:r>
      <w:r>
        <w:rPr>
          <w:rFonts w:hint="default" w:ascii="Times New Roman" w:hAnsi="Times New Roman" w:eastAsia="方正仿宋_GBK" w:cs="Times New Roman"/>
          <w:color w:val="auto"/>
          <w:sz w:val="32"/>
          <w:szCs w:val="32"/>
          <w:highlight w:val="none"/>
        </w:rPr>
        <w:t>组用户分组后，采取园区负荷普降措施，晚高峰对商超及综合体空调采取短时停机、轮停（20</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30分钟）措施压降尖峰负荷。高耗能用户总计晚峰</w:t>
      </w:r>
      <w:r>
        <w:rPr>
          <w:rFonts w:hint="eastAsia" w:ascii="Times New Roman" w:hAnsi="Times New Roman" w:eastAsia="方正仿宋_GBK" w:cs="Times New Roman"/>
          <w:color w:val="auto"/>
          <w:sz w:val="32"/>
          <w:szCs w:val="32"/>
          <w:highlight w:val="none"/>
          <w:lang w:eastAsia="zh-CN"/>
        </w:rPr>
        <w:t>最大可调能力</w:t>
      </w:r>
      <w:r>
        <w:rPr>
          <w:rFonts w:hint="default" w:ascii="Times New Roman" w:hAnsi="Times New Roman" w:eastAsia="方正仿宋_GBK" w:cs="Times New Roman"/>
          <w:color w:val="auto"/>
          <w:sz w:val="32"/>
          <w:szCs w:val="32"/>
          <w:highlight w:val="none"/>
          <w:lang w:val="en-US" w:eastAsia="zh-CN"/>
        </w:rPr>
        <w:t>17.08</w:t>
      </w:r>
      <w:r>
        <w:rPr>
          <w:rFonts w:hint="default" w:ascii="Times New Roman" w:hAnsi="Times New Roman" w:eastAsia="方正仿宋_GBK" w:cs="Times New Roman"/>
          <w:color w:val="auto"/>
          <w:sz w:val="32"/>
          <w:szCs w:val="32"/>
          <w:highlight w:val="none"/>
        </w:rPr>
        <w:t>万千瓦，总计</w:t>
      </w:r>
      <w:r>
        <w:rPr>
          <w:rFonts w:hint="eastAsia" w:ascii="Times New Roman" w:hAnsi="Times New Roman" w:eastAsia="方正仿宋_GBK" w:cs="Times New Roman"/>
          <w:color w:val="auto"/>
          <w:sz w:val="32"/>
          <w:szCs w:val="32"/>
          <w:highlight w:val="none"/>
          <w:lang w:val="en-US" w:eastAsia="zh-CN"/>
        </w:rPr>
        <w:t>最大</w:t>
      </w:r>
      <w:r>
        <w:rPr>
          <w:rFonts w:hint="eastAsia" w:ascii="Times New Roman" w:hAnsi="Times New Roman" w:eastAsia="方正仿宋_GBK" w:cs="Times New Roman"/>
          <w:color w:val="auto"/>
          <w:sz w:val="32"/>
          <w:szCs w:val="32"/>
          <w:highlight w:val="none"/>
          <w:lang w:eastAsia="zh-CN"/>
        </w:rPr>
        <w:t>最大可调负荷</w:t>
      </w:r>
      <w:r>
        <w:rPr>
          <w:rFonts w:hint="eastAsia" w:ascii="Times New Roman" w:hAnsi="Times New Roman" w:eastAsia="方正仿宋_GBK" w:cs="Times New Roman"/>
          <w:color w:val="auto"/>
          <w:sz w:val="32"/>
          <w:szCs w:val="32"/>
          <w:highlight w:val="none"/>
          <w:lang w:val="en-US" w:eastAsia="zh-CN"/>
        </w:rPr>
        <w:t>33.43</w:t>
      </w:r>
      <w:r>
        <w:rPr>
          <w:rFonts w:hint="default" w:ascii="Times New Roman" w:hAnsi="Times New Roman" w:eastAsia="方正仿宋_GBK" w:cs="Times New Roman"/>
          <w:color w:val="auto"/>
          <w:sz w:val="32"/>
          <w:szCs w:val="32"/>
          <w:highlight w:val="none"/>
        </w:rPr>
        <w:t>万千瓦</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同时，运河港虚拟电厂根据电力缺口情况，按照省侧要求适时启动</w:t>
      </w:r>
      <w:r>
        <w:rPr>
          <w:rFonts w:hint="default" w:ascii="Times New Roman" w:hAnsi="Times New Roman" w:eastAsia="方正仿宋_GBK" w:cs="Times New Roman"/>
          <w:color w:val="auto"/>
          <w:spacing w:val="-6"/>
          <w:sz w:val="32"/>
          <w:szCs w:val="32"/>
          <w:highlight w:val="none"/>
          <w:lang w:val="en-US" w:eastAsia="zh-CN"/>
        </w:rPr>
        <w:t>负荷调节策略，邀约其签约的客户错避峰生产，转移用电负荷。</w:t>
      </w:r>
    </w:p>
    <w:p>
      <w:pPr>
        <w:keepNext w:val="0"/>
        <w:keepLines w:val="0"/>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（2）连续性缺口调控措施</w:t>
      </w:r>
    </w:p>
    <w:p>
      <w:pPr>
        <w:spacing w:line="570" w:lineRule="exact"/>
        <w:ind w:firstLine="640" w:firstLineChars="200"/>
        <w:rPr>
          <w:rFonts w:eastAsia="方正仿宋_GBK"/>
          <w:color w:val="000000" w:themeColor="text1"/>
          <w:sz w:val="32"/>
          <w:szCs w:val="32"/>
          <w:highlight w:val="none"/>
          <w14:textFill>
            <w14:solidFill>
              <w14:schemeClr w14:val="tx1"/>
            </w14:solidFill>
          </w14:textFill>
        </w:rPr>
      </w:pPr>
      <w:bookmarkStart w:id="115" w:name="OLE_LINK41"/>
      <w:r>
        <w:rPr>
          <w:rFonts w:eastAsia="方正仿宋_GBK"/>
          <w:color w:val="000000" w:themeColor="text1"/>
          <w:sz w:val="32"/>
          <w:szCs w:val="32"/>
          <w:highlight w:val="none"/>
          <w14:textFill>
            <w14:solidFill>
              <w14:schemeClr w14:val="tx1"/>
            </w14:solidFill>
          </w14:textFill>
        </w:rPr>
        <w:t>执行</w:t>
      </w:r>
      <w:r>
        <w:rPr>
          <w:rFonts w:hint="eastAsia" w:ascii="方正仿宋_GBK" w:eastAsia="方正仿宋_GBK"/>
          <w:color w:val="000000" w:themeColor="text1"/>
          <w:sz w:val="32"/>
          <w:szCs w:val="32"/>
          <w:highlight w:val="none"/>
          <w14:textFill>
            <w14:solidFill>
              <w14:schemeClr w14:val="tx1"/>
            </w14:solidFill>
          </w14:textFill>
        </w:rPr>
        <w:t>“保五错二”</w:t>
      </w:r>
      <w:r>
        <w:rPr>
          <w:rFonts w:eastAsia="方正仿宋_GBK"/>
          <w:color w:val="000000" w:themeColor="text1"/>
          <w:sz w:val="32"/>
          <w:szCs w:val="32"/>
          <w:highlight w:val="none"/>
          <w14:textFill>
            <w14:solidFill>
              <w14:schemeClr w14:val="tx1"/>
            </w14:solidFill>
          </w14:textFill>
        </w:rPr>
        <w:t>轮休措施（需求响应形式）和空调等非工调控措施（需求响应形式），单日平均轮休户数</w:t>
      </w:r>
      <w:r>
        <w:rPr>
          <w:rFonts w:hint="eastAsia" w:eastAsia="方正仿宋_GBK"/>
          <w:color w:val="000000" w:themeColor="text1"/>
          <w:sz w:val="32"/>
          <w:szCs w:val="32"/>
          <w:highlight w:val="none"/>
          <w:lang w:val="en-US" w:eastAsia="zh-CN"/>
          <w14:textFill>
            <w14:solidFill>
              <w14:schemeClr w14:val="tx1"/>
            </w14:solidFill>
          </w14:textFill>
        </w:rPr>
        <w:t>1822</w:t>
      </w:r>
      <w:r>
        <w:rPr>
          <w:rFonts w:eastAsia="方正仿宋_GBK"/>
          <w:color w:val="000000" w:themeColor="text1"/>
          <w:sz w:val="32"/>
          <w:szCs w:val="32"/>
          <w:highlight w:val="none"/>
          <w14:textFill>
            <w14:solidFill>
              <w14:schemeClr w14:val="tx1"/>
            </w14:solidFill>
          </w14:textFill>
        </w:rPr>
        <w:t>户，单日最大可限负荷</w:t>
      </w:r>
      <w:r>
        <w:rPr>
          <w:rFonts w:hint="eastAsia" w:eastAsia="方正仿宋_GBK"/>
          <w:color w:val="000000" w:themeColor="text1"/>
          <w:sz w:val="32"/>
          <w:szCs w:val="32"/>
          <w:highlight w:val="none"/>
          <w:lang w:val="en-US" w:eastAsia="zh-CN"/>
          <w14:textFill>
            <w14:solidFill>
              <w14:schemeClr w14:val="tx1"/>
            </w14:solidFill>
          </w14:textFill>
        </w:rPr>
        <w:t>32.03</w:t>
      </w:r>
      <w:r>
        <w:rPr>
          <w:rFonts w:eastAsia="方正仿宋_GBK"/>
          <w:color w:val="000000" w:themeColor="text1"/>
          <w:sz w:val="32"/>
          <w:szCs w:val="32"/>
          <w:highlight w:val="none"/>
          <w14:textFill>
            <w14:solidFill>
              <w14:schemeClr w14:val="tx1"/>
            </w14:solidFill>
          </w14:textFill>
        </w:rPr>
        <w:t>万千瓦。若确认参与调控量不足，补充快上快下备用组，确保应约响应量覆盖电力缺口</w:t>
      </w:r>
      <w:bookmarkEnd w:id="115"/>
      <w:r>
        <w:rPr>
          <w:rFonts w:eastAsia="方正仿宋_GBK"/>
          <w:color w:val="000000" w:themeColor="text1"/>
          <w:sz w:val="32"/>
          <w:szCs w:val="32"/>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Ⅴ级：</w:t>
      </w:r>
      <w:r>
        <w:rPr>
          <w:rFonts w:hint="default" w:ascii="Times New Roman" w:hAnsi="Times New Roman" w:eastAsia="方正仿宋_GBK" w:cs="Times New Roman"/>
          <w:b/>
          <w:bCs/>
          <w:color w:val="auto"/>
          <w:sz w:val="32"/>
          <w:szCs w:val="32"/>
          <w:highlight w:val="none"/>
          <w:lang w:eastAsia="zh-CN"/>
        </w:rPr>
        <w:t>电力缺口</w:t>
      </w:r>
      <w:r>
        <w:rPr>
          <w:rFonts w:hint="default" w:ascii="Times New Roman" w:hAnsi="Times New Roman" w:eastAsia="方正仿宋_GBK" w:cs="Times New Roman"/>
          <w:b/>
          <w:bCs/>
          <w:color w:val="auto"/>
          <w:sz w:val="32"/>
          <w:szCs w:val="32"/>
          <w:highlight w:val="none"/>
          <w:lang w:val="en-US" w:eastAsia="zh-CN"/>
        </w:rPr>
        <w:t>31</w:t>
      </w:r>
      <w:r>
        <w:rPr>
          <w:rFonts w:hint="default" w:ascii="Times New Roman" w:hAnsi="Times New Roman" w:eastAsia="方正仿宋_GBK" w:cs="Times New Roman"/>
          <w:b/>
          <w:bCs/>
          <w:color w:val="auto"/>
          <w:sz w:val="32"/>
          <w:szCs w:val="32"/>
          <w:highlight w:val="none"/>
        </w:rPr>
        <w:t>-</w:t>
      </w:r>
      <w:r>
        <w:rPr>
          <w:rFonts w:hint="default" w:ascii="Times New Roman" w:hAnsi="Times New Roman" w:eastAsia="方正仿宋_GBK" w:cs="Times New Roman"/>
          <w:b/>
          <w:bCs/>
          <w:color w:val="auto"/>
          <w:sz w:val="32"/>
          <w:szCs w:val="32"/>
          <w:highlight w:val="none"/>
          <w:lang w:val="en-US" w:eastAsia="zh-CN"/>
        </w:rPr>
        <w:t>62</w:t>
      </w:r>
      <w:r>
        <w:rPr>
          <w:rFonts w:hint="default" w:ascii="Times New Roman" w:hAnsi="Times New Roman" w:eastAsia="方正仿宋_GBK" w:cs="Times New Roman"/>
          <w:b/>
          <w:bCs/>
          <w:color w:val="auto"/>
          <w:sz w:val="32"/>
          <w:szCs w:val="32"/>
          <w:highlight w:val="none"/>
        </w:rPr>
        <w:t>万千瓦</w:t>
      </w:r>
    </w:p>
    <w:p>
      <w:pPr>
        <w:keepNext w:val="0"/>
        <w:keepLines w:val="0"/>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w:t>
      </w:r>
      <w:r>
        <w:rPr>
          <w:rFonts w:hint="eastAsia" w:ascii="Times New Roman" w:hAnsi="Times New Roman" w:eastAsia="方正仿宋_GBK" w:cs="Times New Roman"/>
          <w:color w:val="auto"/>
          <w:sz w:val="32"/>
          <w:szCs w:val="32"/>
          <w:highlight w:val="none"/>
          <w:lang w:val="en-US" w:eastAsia="zh-CN"/>
        </w:rPr>
        <w:t>短期电力缺口</w:t>
      </w:r>
    </w:p>
    <w:p>
      <w:pPr>
        <w:keepNext w:val="0"/>
        <w:keepLines w:val="0"/>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lang w:val="en-US" w:eastAsia="zh-CN"/>
        </w:rPr>
        <w:t>优先采用需求响应措施，</w:t>
      </w:r>
      <w:r>
        <w:rPr>
          <w:rFonts w:hint="default" w:ascii="Times New Roman" w:hAnsi="Times New Roman" w:eastAsia="方正仿宋_GBK" w:cs="Times New Roman"/>
          <w:color w:val="auto"/>
          <w:sz w:val="32"/>
          <w:szCs w:val="32"/>
          <w:highlight w:val="none"/>
        </w:rPr>
        <w:t>优先</w:t>
      </w:r>
      <w:r>
        <w:rPr>
          <w:rFonts w:hint="eastAsia" w:ascii="Times New Roman" w:hAnsi="Times New Roman" w:eastAsia="方正仿宋_GBK" w:cs="Times New Roman"/>
          <w:color w:val="auto"/>
          <w:sz w:val="32"/>
          <w:szCs w:val="32"/>
          <w:highlight w:val="none"/>
          <w:lang w:val="en-US" w:eastAsia="zh-CN"/>
        </w:rPr>
        <w:t>高耗能用户参与响应，</w:t>
      </w:r>
      <w:r>
        <w:rPr>
          <w:rFonts w:hint="default" w:ascii="Times New Roman" w:hAnsi="Times New Roman" w:eastAsia="方正仿宋_GBK" w:cs="Times New Roman"/>
          <w:color w:val="auto"/>
          <w:sz w:val="32"/>
          <w:szCs w:val="32"/>
          <w:highlight w:val="none"/>
        </w:rPr>
        <w:t>高耗能行业用户，晚峰</w:t>
      </w:r>
      <w:r>
        <w:rPr>
          <w:rFonts w:hint="eastAsia" w:ascii="Times New Roman" w:hAnsi="Times New Roman" w:eastAsia="方正仿宋_GBK" w:cs="Times New Roman"/>
          <w:color w:val="auto"/>
          <w:sz w:val="32"/>
          <w:szCs w:val="32"/>
          <w:highlight w:val="none"/>
          <w:lang w:eastAsia="zh-CN"/>
        </w:rPr>
        <w:t>最大可调能力</w:t>
      </w:r>
      <w:r>
        <w:rPr>
          <w:rFonts w:hint="default" w:ascii="Times New Roman" w:hAnsi="Times New Roman" w:eastAsia="方正仿宋_GBK" w:cs="Times New Roman"/>
          <w:color w:val="auto"/>
          <w:sz w:val="32"/>
          <w:szCs w:val="32"/>
          <w:highlight w:val="none"/>
          <w:lang w:val="en-US" w:eastAsia="zh-CN"/>
        </w:rPr>
        <w:t>17.08</w:t>
      </w:r>
      <w:r>
        <w:rPr>
          <w:rFonts w:hint="default" w:ascii="Times New Roman" w:hAnsi="Times New Roman" w:eastAsia="方正仿宋_GBK" w:cs="Times New Roman"/>
          <w:color w:val="auto"/>
          <w:sz w:val="32"/>
          <w:szCs w:val="32"/>
          <w:highlight w:val="none"/>
        </w:rPr>
        <w:t>万千瓦，空调临停调控措施调节尖峰负荷</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lang w:val="en-US" w:eastAsia="zh-CN"/>
        </w:rPr>
        <w:t>在</w:t>
      </w:r>
      <w:r>
        <w:rPr>
          <w:rFonts w:hint="default" w:ascii="Times New Roman" w:hAnsi="Times New Roman" w:eastAsia="方正仿宋_GBK" w:cs="Times New Roman"/>
          <w:color w:val="auto"/>
          <w:sz w:val="32"/>
          <w:szCs w:val="32"/>
          <w:highlight w:val="none"/>
        </w:rPr>
        <w:t>Ⅵ</w:t>
      </w:r>
      <w:r>
        <w:rPr>
          <w:rFonts w:hint="eastAsia" w:ascii="Times New Roman" w:hAnsi="Times New Roman" w:eastAsia="方正仿宋_GBK" w:cs="Times New Roman"/>
          <w:color w:val="auto"/>
          <w:sz w:val="32"/>
          <w:szCs w:val="32"/>
          <w:highlight w:val="none"/>
          <w:lang w:val="en-US" w:eastAsia="zh-CN"/>
        </w:rPr>
        <w:t>级缺口基础上加大压降力度</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晚峰</w:t>
      </w:r>
      <w:r>
        <w:rPr>
          <w:rFonts w:hint="eastAsia" w:ascii="Times New Roman" w:hAnsi="Times New Roman" w:eastAsia="方正仿宋_GBK" w:cs="Times New Roman"/>
          <w:color w:val="auto"/>
          <w:sz w:val="32"/>
          <w:szCs w:val="32"/>
          <w:highlight w:val="none"/>
          <w:lang w:val="en-US" w:eastAsia="zh-CN"/>
        </w:rPr>
        <w:t>最大</w:t>
      </w:r>
      <w:r>
        <w:rPr>
          <w:rFonts w:hint="default" w:ascii="Times New Roman" w:hAnsi="Times New Roman" w:eastAsia="方正仿宋_GBK" w:cs="Times New Roman"/>
          <w:color w:val="auto"/>
          <w:sz w:val="32"/>
          <w:szCs w:val="32"/>
          <w:highlight w:val="none"/>
        </w:rPr>
        <w:t>可调能力</w:t>
      </w:r>
      <w:r>
        <w:rPr>
          <w:rFonts w:hint="eastAsia" w:ascii="Times New Roman" w:hAnsi="Times New Roman" w:eastAsia="方正仿宋_GBK" w:cs="Times New Roman"/>
          <w:color w:val="auto"/>
          <w:sz w:val="32"/>
          <w:szCs w:val="32"/>
          <w:highlight w:val="none"/>
          <w:lang w:val="en-US" w:eastAsia="zh-CN"/>
        </w:rPr>
        <w:t>8.37</w:t>
      </w:r>
      <w:r>
        <w:rPr>
          <w:rFonts w:hint="default" w:ascii="Times New Roman" w:hAnsi="Times New Roman" w:eastAsia="方正仿宋_GBK" w:cs="Times New Roman"/>
          <w:color w:val="auto"/>
          <w:sz w:val="32"/>
          <w:szCs w:val="32"/>
          <w:highlight w:val="none"/>
        </w:rPr>
        <w:t>万千瓦，实施快上快下错避峰策略保底，晚峰</w:t>
      </w:r>
      <w:r>
        <w:rPr>
          <w:rFonts w:hint="eastAsia" w:ascii="Times New Roman" w:hAnsi="Times New Roman" w:eastAsia="方正仿宋_GBK" w:cs="Times New Roman"/>
          <w:color w:val="auto"/>
          <w:sz w:val="32"/>
          <w:szCs w:val="32"/>
          <w:highlight w:val="none"/>
          <w:lang w:eastAsia="zh-CN"/>
        </w:rPr>
        <w:t>最大可调能力</w:t>
      </w:r>
      <w:r>
        <w:rPr>
          <w:rFonts w:hint="eastAsia" w:ascii="Times New Roman" w:hAnsi="Times New Roman" w:eastAsia="方正仿宋_GBK" w:cs="Times New Roman"/>
          <w:color w:val="auto"/>
          <w:sz w:val="32"/>
          <w:szCs w:val="32"/>
          <w:highlight w:val="none"/>
          <w:lang w:val="en-US" w:eastAsia="zh-CN"/>
        </w:rPr>
        <w:t>8.21</w:t>
      </w:r>
      <w:r>
        <w:rPr>
          <w:rFonts w:hint="default" w:ascii="Times New Roman" w:hAnsi="Times New Roman" w:eastAsia="方正仿宋_GBK" w:cs="Times New Roman"/>
          <w:color w:val="auto"/>
          <w:sz w:val="32"/>
          <w:szCs w:val="32"/>
          <w:highlight w:val="none"/>
        </w:rPr>
        <w:t>万千瓦，负荷普降措施降低基础负荷，晚峰</w:t>
      </w:r>
      <w:r>
        <w:rPr>
          <w:rFonts w:hint="eastAsia" w:ascii="Times New Roman" w:hAnsi="Times New Roman" w:eastAsia="方正仿宋_GBK" w:cs="Times New Roman"/>
          <w:color w:val="auto"/>
          <w:sz w:val="32"/>
          <w:szCs w:val="32"/>
          <w:highlight w:val="none"/>
          <w:lang w:eastAsia="zh-CN"/>
        </w:rPr>
        <w:t>最大可调能力</w:t>
      </w:r>
      <w:r>
        <w:rPr>
          <w:rFonts w:hint="eastAsia" w:ascii="Times New Roman" w:hAnsi="Times New Roman" w:eastAsia="方正仿宋_GBK" w:cs="Times New Roman"/>
          <w:color w:val="auto"/>
          <w:sz w:val="32"/>
          <w:szCs w:val="32"/>
          <w:highlight w:val="none"/>
          <w:lang w:val="en-US" w:eastAsia="zh-CN"/>
        </w:rPr>
        <w:t>23.2</w:t>
      </w:r>
      <w:r>
        <w:rPr>
          <w:rFonts w:hint="default" w:ascii="Times New Roman" w:hAnsi="Times New Roman" w:eastAsia="方正仿宋_GBK" w:cs="Times New Roman"/>
          <w:color w:val="auto"/>
          <w:sz w:val="32"/>
          <w:szCs w:val="32"/>
          <w:highlight w:val="none"/>
        </w:rPr>
        <w:t>万千瓦，总计晚峰</w:t>
      </w:r>
      <w:r>
        <w:rPr>
          <w:rFonts w:hint="eastAsia" w:ascii="Times New Roman" w:hAnsi="Times New Roman" w:eastAsia="方正仿宋_GBK" w:cs="Times New Roman"/>
          <w:color w:val="auto"/>
          <w:sz w:val="32"/>
          <w:szCs w:val="32"/>
          <w:highlight w:val="none"/>
          <w:lang w:eastAsia="zh-CN"/>
        </w:rPr>
        <w:t>最大可调能力</w:t>
      </w:r>
      <w:r>
        <w:rPr>
          <w:rFonts w:hint="eastAsia" w:ascii="Times New Roman" w:hAnsi="Times New Roman" w:eastAsia="方正仿宋_GBK" w:cs="Times New Roman"/>
          <w:color w:val="auto"/>
          <w:sz w:val="32"/>
          <w:szCs w:val="32"/>
          <w:highlight w:val="none"/>
          <w:lang w:val="en-US" w:eastAsia="zh-CN"/>
        </w:rPr>
        <w:t>56.86</w:t>
      </w:r>
      <w:r>
        <w:rPr>
          <w:rFonts w:hint="default" w:ascii="Times New Roman" w:hAnsi="Times New Roman" w:eastAsia="方正仿宋_GBK" w:cs="Times New Roman"/>
          <w:color w:val="auto"/>
          <w:sz w:val="32"/>
          <w:szCs w:val="32"/>
          <w:highlight w:val="none"/>
        </w:rPr>
        <w:t>万千瓦。</w:t>
      </w:r>
    </w:p>
    <w:p>
      <w:pPr>
        <w:keepNext w:val="0"/>
        <w:keepLines w:val="0"/>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rPr>
        <w:t>（2）</w:t>
      </w:r>
      <w:r>
        <w:rPr>
          <w:rFonts w:hint="eastAsia" w:ascii="Times New Roman" w:hAnsi="Times New Roman" w:eastAsia="方正仿宋_GBK" w:cs="Times New Roman"/>
          <w:color w:val="auto"/>
          <w:sz w:val="32"/>
          <w:szCs w:val="32"/>
          <w:highlight w:val="none"/>
          <w:lang w:val="en-US" w:eastAsia="zh-CN"/>
        </w:rPr>
        <w:t>连续性缺口调控措施</w:t>
      </w:r>
    </w:p>
    <w:p>
      <w:pPr>
        <w:keepNext w:val="0"/>
        <w:keepLines w:val="0"/>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启用轮休策略，优先高耗能行业用户保四错三轮休，其他按照保六错一/保五错二方式执行轮休用户分组，</w:t>
      </w:r>
      <w:r>
        <w:rPr>
          <w:rFonts w:eastAsia="方正仿宋_GBK"/>
          <w:color w:val="000000" w:themeColor="text1"/>
          <w:sz w:val="32"/>
          <w:szCs w:val="32"/>
          <w:highlight w:val="none"/>
          <w14:textFill>
            <w14:solidFill>
              <w14:schemeClr w14:val="tx1"/>
            </w14:solidFill>
          </w14:textFill>
        </w:rPr>
        <w:t>单日平均轮休户数</w:t>
      </w:r>
      <w:r>
        <w:rPr>
          <w:rFonts w:hint="eastAsia" w:eastAsia="方正仿宋_GBK"/>
          <w:color w:val="000000" w:themeColor="text1"/>
          <w:sz w:val="32"/>
          <w:szCs w:val="32"/>
          <w:highlight w:val="none"/>
          <w:lang w:val="en-US" w:eastAsia="zh-CN"/>
          <w14:textFill>
            <w14:solidFill>
              <w14:schemeClr w14:val="tx1"/>
            </w14:solidFill>
          </w14:textFill>
        </w:rPr>
        <w:t>2730</w:t>
      </w:r>
      <w:r>
        <w:rPr>
          <w:rFonts w:eastAsia="方正仿宋_GBK"/>
          <w:color w:val="000000" w:themeColor="text1"/>
          <w:sz w:val="32"/>
          <w:szCs w:val="32"/>
          <w:highlight w:val="none"/>
          <w14:textFill>
            <w14:solidFill>
              <w14:schemeClr w14:val="tx1"/>
            </w14:solidFill>
          </w14:textFill>
        </w:rPr>
        <w:t>户，</w:t>
      </w:r>
      <w:r>
        <w:rPr>
          <w:rFonts w:hint="default" w:ascii="Times New Roman" w:hAnsi="Times New Roman" w:eastAsia="方正仿宋_GBK" w:cs="Times New Roman"/>
          <w:color w:val="auto"/>
          <w:sz w:val="32"/>
          <w:szCs w:val="32"/>
          <w:highlight w:val="none"/>
        </w:rPr>
        <w:t>预留</w:t>
      </w:r>
      <w:r>
        <w:rPr>
          <w:rFonts w:hint="eastAsia" w:ascii="Times New Roman" w:hAnsi="Times New Roman" w:eastAsia="方正仿宋_GBK" w:cs="Times New Roman"/>
          <w:color w:val="auto"/>
          <w:sz w:val="32"/>
          <w:szCs w:val="32"/>
          <w:highlight w:val="none"/>
          <w:lang w:val="en-US" w:eastAsia="zh-CN"/>
        </w:rPr>
        <w:t>晚峰可调负荷12.41万千瓦的</w:t>
      </w:r>
      <w:r>
        <w:rPr>
          <w:rFonts w:hint="default" w:ascii="Times New Roman" w:hAnsi="Times New Roman" w:eastAsia="方正仿宋_GBK" w:cs="Times New Roman"/>
          <w:color w:val="auto"/>
          <w:sz w:val="32"/>
          <w:szCs w:val="32"/>
          <w:highlight w:val="none"/>
        </w:rPr>
        <w:t>快上快下错避峰措施补充调节尖峰负荷</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总计晚峰</w:t>
      </w:r>
      <w:r>
        <w:rPr>
          <w:rFonts w:hint="eastAsia" w:ascii="Times New Roman" w:hAnsi="Times New Roman" w:eastAsia="方正仿宋_GBK" w:cs="Times New Roman"/>
          <w:color w:val="auto"/>
          <w:sz w:val="32"/>
          <w:szCs w:val="32"/>
          <w:highlight w:val="none"/>
          <w:lang w:eastAsia="zh-CN"/>
        </w:rPr>
        <w:t>最大可调能力</w:t>
      </w:r>
      <w:r>
        <w:rPr>
          <w:rFonts w:hint="eastAsia" w:ascii="Times New Roman" w:hAnsi="Times New Roman" w:eastAsia="方正仿宋_GBK" w:cs="Times New Roman"/>
          <w:color w:val="auto"/>
          <w:sz w:val="32"/>
          <w:szCs w:val="32"/>
          <w:highlight w:val="none"/>
          <w:lang w:val="en-US" w:eastAsia="zh-CN"/>
        </w:rPr>
        <w:t>63.89万</w:t>
      </w:r>
      <w:r>
        <w:rPr>
          <w:rFonts w:hint="default" w:ascii="Times New Roman" w:hAnsi="Times New Roman" w:eastAsia="方正仿宋_GBK" w:cs="Times New Roman"/>
          <w:color w:val="auto"/>
          <w:sz w:val="32"/>
          <w:szCs w:val="32"/>
          <w:highlight w:val="none"/>
        </w:rPr>
        <w:t>千瓦</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确保电力资源用好用足。</w:t>
      </w:r>
    </w:p>
    <w:p>
      <w:pPr>
        <w:keepNext w:val="0"/>
        <w:keepLines w:val="0"/>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Ⅳ级：</w:t>
      </w:r>
      <w:r>
        <w:rPr>
          <w:rFonts w:hint="default" w:ascii="Times New Roman" w:hAnsi="Times New Roman" w:eastAsia="方正仿宋_GBK" w:cs="Times New Roman"/>
          <w:b/>
          <w:bCs/>
          <w:color w:val="auto"/>
          <w:sz w:val="32"/>
          <w:szCs w:val="32"/>
          <w:highlight w:val="none"/>
          <w:lang w:eastAsia="zh-CN"/>
        </w:rPr>
        <w:t>电力缺口</w:t>
      </w:r>
      <w:r>
        <w:rPr>
          <w:rFonts w:hint="default" w:ascii="Times New Roman" w:hAnsi="Times New Roman" w:eastAsia="方正仿宋_GBK" w:cs="Times New Roman"/>
          <w:b/>
          <w:bCs/>
          <w:color w:val="auto"/>
          <w:sz w:val="32"/>
          <w:szCs w:val="32"/>
          <w:highlight w:val="none"/>
          <w:lang w:val="en-US" w:eastAsia="zh-CN"/>
        </w:rPr>
        <w:t>62</w:t>
      </w:r>
      <w:r>
        <w:rPr>
          <w:rFonts w:hint="default" w:ascii="Times New Roman" w:hAnsi="Times New Roman" w:eastAsia="方正仿宋_GBK" w:cs="Times New Roman"/>
          <w:b/>
          <w:bCs/>
          <w:color w:val="auto"/>
          <w:sz w:val="32"/>
          <w:szCs w:val="32"/>
          <w:highlight w:val="none"/>
        </w:rPr>
        <w:t>-</w:t>
      </w:r>
      <w:r>
        <w:rPr>
          <w:rFonts w:hint="default" w:ascii="Times New Roman" w:hAnsi="Times New Roman" w:eastAsia="方正仿宋_GBK" w:cs="Times New Roman"/>
          <w:b/>
          <w:bCs/>
          <w:color w:val="auto"/>
          <w:sz w:val="32"/>
          <w:szCs w:val="32"/>
          <w:highlight w:val="none"/>
          <w:lang w:val="en-US" w:eastAsia="zh-CN"/>
        </w:rPr>
        <w:t>93</w:t>
      </w:r>
      <w:r>
        <w:rPr>
          <w:rFonts w:hint="default" w:ascii="Times New Roman" w:hAnsi="Times New Roman" w:eastAsia="方正仿宋_GBK" w:cs="Times New Roman"/>
          <w:b/>
          <w:bCs/>
          <w:color w:val="auto"/>
          <w:sz w:val="32"/>
          <w:szCs w:val="32"/>
          <w:highlight w:val="none"/>
        </w:rPr>
        <w:t>万千瓦</w:t>
      </w:r>
    </w:p>
    <w:p>
      <w:pPr>
        <w:keepNext w:val="0"/>
        <w:keepLines w:val="0"/>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pacing w:val="-6"/>
          <w:sz w:val="32"/>
          <w:szCs w:val="32"/>
          <w:highlight w:val="none"/>
        </w:rPr>
      </w:pPr>
      <w:r>
        <w:rPr>
          <w:rFonts w:hint="default" w:ascii="Times New Roman" w:hAnsi="Times New Roman" w:eastAsia="方正仿宋_GBK" w:cs="Times New Roman"/>
          <w:color w:val="auto"/>
          <w:sz w:val="32"/>
          <w:szCs w:val="32"/>
          <w:highlight w:val="none"/>
        </w:rPr>
        <w:t>根据省发改委指令确认是否启动需求响应，如启动需求响应，由于</w:t>
      </w:r>
      <w:r>
        <w:rPr>
          <w:rFonts w:hint="default" w:ascii="Times New Roman" w:hAnsi="Times New Roman" w:eastAsia="方正仿宋_GBK" w:cs="Times New Roman"/>
          <w:color w:val="auto"/>
          <w:sz w:val="32"/>
          <w:szCs w:val="32"/>
          <w:highlight w:val="none"/>
          <w:lang w:eastAsia="zh-CN"/>
        </w:rPr>
        <w:t>电力缺口</w:t>
      </w:r>
      <w:r>
        <w:rPr>
          <w:rFonts w:hint="default" w:ascii="Times New Roman" w:hAnsi="Times New Roman" w:eastAsia="方正仿宋_GBK" w:cs="Times New Roman"/>
          <w:color w:val="auto"/>
          <w:sz w:val="32"/>
          <w:szCs w:val="32"/>
          <w:highlight w:val="none"/>
        </w:rPr>
        <w:t>超出需求响应能力范围，需同步采取其</w:t>
      </w:r>
      <w:r>
        <w:rPr>
          <w:rFonts w:hint="default" w:ascii="Times New Roman" w:hAnsi="Times New Roman" w:eastAsia="方正仿宋_GBK" w:cs="Times New Roman"/>
          <w:color w:val="auto"/>
          <w:spacing w:val="-6"/>
          <w:sz w:val="32"/>
          <w:szCs w:val="32"/>
          <w:highlight w:val="none"/>
        </w:rPr>
        <w:t>他负荷管理措施，优先执行全部高耗能及低端低效分组用户。</w:t>
      </w:r>
    </w:p>
    <w:p>
      <w:pPr>
        <w:keepNext w:val="0"/>
        <w:keepLines w:val="0"/>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w:t>
      </w:r>
      <w:r>
        <w:rPr>
          <w:rFonts w:hint="eastAsia" w:ascii="Times New Roman" w:hAnsi="Times New Roman" w:eastAsia="方正仿宋_GBK" w:cs="Times New Roman"/>
          <w:color w:val="auto"/>
          <w:sz w:val="32"/>
          <w:szCs w:val="32"/>
          <w:highlight w:val="none"/>
          <w:lang w:val="en-US" w:eastAsia="zh-CN"/>
        </w:rPr>
        <w:t>短期电力缺口</w:t>
      </w:r>
    </w:p>
    <w:p>
      <w:pPr>
        <w:keepNext w:val="0"/>
        <w:keepLines w:val="0"/>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lang w:val="en-US" w:eastAsia="zh-CN"/>
        </w:rPr>
        <w:t>优先采用需求响应措施，</w:t>
      </w:r>
      <w:r>
        <w:rPr>
          <w:rFonts w:hint="default" w:ascii="Times New Roman" w:hAnsi="Times New Roman" w:eastAsia="方正仿宋_GBK" w:cs="Times New Roman"/>
          <w:color w:val="auto"/>
          <w:sz w:val="32"/>
          <w:szCs w:val="32"/>
          <w:highlight w:val="none"/>
        </w:rPr>
        <w:t>负荷管理措施中优先安排“高耗能”企业停产，晚峰</w:t>
      </w:r>
      <w:r>
        <w:rPr>
          <w:rFonts w:hint="eastAsia" w:ascii="Times New Roman" w:hAnsi="Times New Roman" w:eastAsia="方正仿宋_GBK" w:cs="Times New Roman"/>
          <w:color w:val="auto"/>
          <w:sz w:val="32"/>
          <w:szCs w:val="32"/>
          <w:highlight w:val="none"/>
          <w:lang w:eastAsia="zh-CN"/>
        </w:rPr>
        <w:t>最大可调能力</w:t>
      </w:r>
      <w:r>
        <w:rPr>
          <w:rFonts w:hint="default" w:ascii="Times New Roman" w:hAnsi="Times New Roman" w:eastAsia="方正仿宋_GBK" w:cs="Times New Roman"/>
          <w:color w:val="auto"/>
          <w:sz w:val="32"/>
          <w:szCs w:val="32"/>
          <w:highlight w:val="none"/>
          <w:lang w:val="en-US" w:eastAsia="zh-CN"/>
        </w:rPr>
        <w:t>17.08</w:t>
      </w:r>
      <w:r>
        <w:rPr>
          <w:rFonts w:hint="default" w:ascii="Times New Roman" w:hAnsi="Times New Roman" w:eastAsia="方正仿宋_GBK" w:cs="Times New Roman"/>
          <w:color w:val="auto"/>
          <w:sz w:val="32"/>
          <w:szCs w:val="32"/>
          <w:highlight w:val="none"/>
        </w:rPr>
        <w:t>万千瓦，安排部分“快上快下”企业配合进行调峰，晚峰</w:t>
      </w:r>
      <w:r>
        <w:rPr>
          <w:rFonts w:hint="eastAsia" w:ascii="Times New Roman" w:hAnsi="Times New Roman" w:eastAsia="方正仿宋_GBK" w:cs="Times New Roman"/>
          <w:color w:val="auto"/>
          <w:sz w:val="32"/>
          <w:szCs w:val="32"/>
          <w:highlight w:val="none"/>
          <w:lang w:eastAsia="zh-CN"/>
        </w:rPr>
        <w:t>最大可调能力</w:t>
      </w:r>
      <w:r>
        <w:rPr>
          <w:rFonts w:hint="eastAsia" w:ascii="Times New Roman" w:hAnsi="Times New Roman" w:eastAsia="方正仿宋_GBK" w:cs="Times New Roman"/>
          <w:color w:val="auto"/>
          <w:sz w:val="32"/>
          <w:szCs w:val="32"/>
          <w:highlight w:val="none"/>
          <w:lang w:val="en-US" w:eastAsia="zh-CN"/>
        </w:rPr>
        <w:t>12.41</w:t>
      </w:r>
      <w:r>
        <w:rPr>
          <w:rFonts w:hint="default" w:ascii="Times New Roman" w:hAnsi="Times New Roman" w:eastAsia="方正仿宋_GBK" w:cs="Times New Roman"/>
          <w:color w:val="auto"/>
          <w:sz w:val="32"/>
          <w:szCs w:val="32"/>
          <w:highlight w:val="none"/>
        </w:rPr>
        <w:t>万千瓦，安排工业及非工客户采取普降措施，或执行调休方案措施，将非连续性生产企业负荷调整至周末。同时对高耗能、重点客户采取负荷管控措施</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总计晚峰</w:t>
      </w:r>
      <w:r>
        <w:rPr>
          <w:rFonts w:hint="eastAsia" w:ascii="Times New Roman" w:hAnsi="Times New Roman" w:eastAsia="方正仿宋_GBK" w:cs="Times New Roman"/>
          <w:color w:val="auto"/>
          <w:sz w:val="32"/>
          <w:szCs w:val="32"/>
          <w:highlight w:val="none"/>
          <w:lang w:eastAsia="zh-CN"/>
        </w:rPr>
        <w:t>最大可调能力</w:t>
      </w:r>
      <w:r>
        <w:rPr>
          <w:rFonts w:hint="eastAsia" w:ascii="Times New Roman" w:hAnsi="Times New Roman" w:eastAsia="方正仿宋_GBK" w:cs="Times New Roman"/>
          <w:color w:val="auto"/>
          <w:sz w:val="32"/>
          <w:szCs w:val="32"/>
          <w:highlight w:val="none"/>
          <w:lang w:val="en-US" w:eastAsia="zh-CN"/>
        </w:rPr>
        <w:t>85.12万</w:t>
      </w:r>
      <w:r>
        <w:rPr>
          <w:rFonts w:hint="default" w:ascii="Times New Roman" w:hAnsi="Times New Roman" w:eastAsia="方正仿宋_GBK" w:cs="Times New Roman"/>
          <w:color w:val="auto"/>
          <w:sz w:val="32"/>
          <w:szCs w:val="32"/>
          <w:highlight w:val="none"/>
        </w:rPr>
        <w:t>千瓦。</w:t>
      </w:r>
    </w:p>
    <w:p>
      <w:pPr>
        <w:keepNext w:val="0"/>
        <w:keepLines w:val="0"/>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rPr>
        <w:t>（2）</w:t>
      </w:r>
      <w:r>
        <w:rPr>
          <w:rFonts w:hint="eastAsia" w:ascii="Times New Roman" w:hAnsi="Times New Roman" w:eastAsia="方正仿宋_GBK" w:cs="Times New Roman"/>
          <w:color w:val="auto"/>
          <w:sz w:val="32"/>
          <w:szCs w:val="32"/>
          <w:highlight w:val="none"/>
          <w:lang w:val="en-US" w:eastAsia="zh-CN"/>
        </w:rPr>
        <w:t>连续性缺口调控措施</w:t>
      </w:r>
    </w:p>
    <w:p>
      <w:pPr>
        <w:keepNext w:val="0"/>
        <w:keepLines w:val="0"/>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启用轮休策略，优先高耗能行业用户保三错四，其他客户按照保四错三方式执行轮休用户分组</w:t>
      </w:r>
      <w:r>
        <w:rPr>
          <w:rFonts w:hint="eastAsia" w:ascii="Times New Roman" w:hAnsi="Times New Roman" w:eastAsia="方正仿宋_GBK" w:cs="Times New Roman"/>
          <w:color w:val="auto"/>
          <w:sz w:val="32"/>
          <w:szCs w:val="32"/>
          <w:highlight w:val="none"/>
          <w:lang w:eastAsia="zh-CN"/>
        </w:rPr>
        <w:t>，</w:t>
      </w:r>
      <w:r>
        <w:rPr>
          <w:rFonts w:eastAsia="方正仿宋_GBK"/>
          <w:color w:val="000000" w:themeColor="text1"/>
          <w:sz w:val="32"/>
          <w:szCs w:val="32"/>
          <w:highlight w:val="none"/>
          <w14:textFill>
            <w14:solidFill>
              <w14:schemeClr w14:val="tx1"/>
            </w14:solidFill>
          </w14:textFill>
        </w:rPr>
        <w:t>单日平均轮休户数</w:t>
      </w:r>
      <w:r>
        <w:rPr>
          <w:rFonts w:hint="eastAsia" w:eastAsia="方正仿宋_GBK"/>
          <w:color w:val="000000" w:themeColor="text1"/>
          <w:sz w:val="32"/>
          <w:szCs w:val="32"/>
          <w:highlight w:val="none"/>
          <w:lang w:val="en-US" w:eastAsia="zh-CN"/>
          <w14:textFill>
            <w14:solidFill>
              <w14:schemeClr w14:val="tx1"/>
            </w14:solidFill>
          </w14:textFill>
        </w:rPr>
        <w:t>3640</w:t>
      </w:r>
      <w:r>
        <w:rPr>
          <w:rFonts w:eastAsia="方正仿宋_GBK"/>
          <w:color w:val="000000" w:themeColor="text1"/>
          <w:sz w:val="32"/>
          <w:szCs w:val="32"/>
          <w:highlight w:val="none"/>
          <w14:textFill>
            <w14:solidFill>
              <w14:schemeClr w14:val="tx1"/>
            </w14:solidFill>
          </w14:textFill>
        </w:rPr>
        <w:t>户</w:t>
      </w:r>
      <w:r>
        <w:rPr>
          <w:rFonts w:hint="default" w:ascii="Times New Roman" w:hAnsi="Times New Roman" w:eastAsia="方正仿宋_GBK" w:cs="Times New Roman"/>
          <w:color w:val="auto"/>
          <w:sz w:val="32"/>
          <w:szCs w:val="32"/>
          <w:highlight w:val="none"/>
        </w:rPr>
        <w:t>，晚峰</w:t>
      </w:r>
      <w:r>
        <w:rPr>
          <w:rFonts w:hint="eastAsia" w:ascii="Times New Roman" w:hAnsi="Times New Roman" w:eastAsia="方正仿宋_GBK" w:cs="Times New Roman"/>
          <w:color w:val="auto"/>
          <w:sz w:val="32"/>
          <w:szCs w:val="32"/>
          <w:highlight w:val="none"/>
          <w:lang w:eastAsia="zh-CN"/>
        </w:rPr>
        <w:t>最大可调能力</w:t>
      </w:r>
      <w:r>
        <w:rPr>
          <w:rFonts w:hint="eastAsia" w:ascii="Times New Roman" w:hAnsi="Times New Roman" w:eastAsia="方正仿宋_GBK" w:cs="Times New Roman"/>
          <w:color w:val="auto"/>
          <w:sz w:val="32"/>
          <w:szCs w:val="32"/>
          <w:highlight w:val="none"/>
          <w:lang w:val="en-US" w:eastAsia="zh-CN"/>
        </w:rPr>
        <w:t>8.37</w:t>
      </w:r>
      <w:r>
        <w:rPr>
          <w:rFonts w:hint="default" w:ascii="Times New Roman" w:hAnsi="Times New Roman" w:eastAsia="方正仿宋_GBK" w:cs="Times New Roman"/>
          <w:color w:val="auto"/>
          <w:sz w:val="32"/>
          <w:szCs w:val="32"/>
          <w:highlight w:val="none"/>
        </w:rPr>
        <w:t>万千瓦，预留部分调控能力强的快上快下错避峰分组用户补充调峰，晚峰</w:t>
      </w:r>
      <w:r>
        <w:rPr>
          <w:rFonts w:hint="eastAsia" w:ascii="Times New Roman" w:hAnsi="Times New Roman" w:eastAsia="方正仿宋_GBK" w:cs="Times New Roman"/>
          <w:color w:val="auto"/>
          <w:sz w:val="32"/>
          <w:szCs w:val="32"/>
          <w:highlight w:val="none"/>
          <w:lang w:eastAsia="zh-CN"/>
        </w:rPr>
        <w:t>最大可调能力</w:t>
      </w:r>
      <w:r>
        <w:rPr>
          <w:rFonts w:hint="eastAsia" w:ascii="Times New Roman" w:hAnsi="Times New Roman" w:eastAsia="方正仿宋_GBK" w:cs="Times New Roman"/>
          <w:color w:val="auto"/>
          <w:sz w:val="32"/>
          <w:szCs w:val="32"/>
          <w:highlight w:val="none"/>
          <w:lang w:val="en-US" w:eastAsia="zh-CN"/>
        </w:rPr>
        <w:t>8.21</w:t>
      </w:r>
      <w:r>
        <w:rPr>
          <w:rFonts w:hint="default" w:ascii="Times New Roman" w:hAnsi="Times New Roman" w:eastAsia="方正仿宋_GBK" w:cs="Times New Roman"/>
          <w:color w:val="auto"/>
          <w:sz w:val="32"/>
          <w:szCs w:val="32"/>
          <w:highlight w:val="none"/>
        </w:rPr>
        <w:t>万千瓦，总计晚峰</w:t>
      </w:r>
      <w:r>
        <w:rPr>
          <w:rFonts w:hint="eastAsia" w:ascii="Times New Roman" w:hAnsi="Times New Roman" w:eastAsia="方正仿宋_GBK" w:cs="Times New Roman"/>
          <w:color w:val="auto"/>
          <w:sz w:val="32"/>
          <w:szCs w:val="32"/>
          <w:highlight w:val="none"/>
          <w:lang w:eastAsia="zh-CN"/>
        </w:rPr>
        <w:t>最大可调能力</w:t>
      </w:r>
      <w:r>
        <w:rPr>
          <w:rFonts w:hint="eastAsia" w:ascii="Times New Roman" w:hAnsi="Times New Roman" w:eastAsia="方正仿宋_GBK" w:cs="Times New Roman"/>
          <w:color w:val="auto"/>
          <w:sz w:val="32"/>
          <w:szCs w:val="32"/>
          <w:highlight w:val="none"/>
          <w:lang w:val="en-US" w:eastAsia="zh-CN"/>
        </w:rPr>
        <w:t>98.66万</w:t>
      </w:r>
      <w:r>
        <w:rPr>
          <w:rFonts w:hint="default" w:ascii="Times New Roman" w:hAnsi="Times New Roman" w:eastAsia="方正仿宋_GBK" w:cs="Times New Roman"/>
          <w:color w:val="auto"/>
          <w:sz w:val="32"/>
          <w:szCs w:val="32"/>
          <w:highlight w:val="none"/>
        </w:rPr>
        <w:t>千瓦</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确保电力资源用好用足。</w:t>
      </w:r>
    </w:p>
    <w:p>
      <w:pPr>
        <w:keepNext w:val="0"/>
        <w:keepLines w:val="0"/>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Ⅲ级：</w:t>
      </w:r>
      <w:r>
        <w:rPr>
          <w:rFonts w:hint="default" w:ascii="Times New Roman" w:hAnsi="Times New Roman" w:eastAsia="方正仿宋_GBK" w:cs="Times New Roman"/>
          <w:b/>
          <w:bCs/>
          <w:color w:val="auto"/>
          <w:sz w:val="32"/>
          <w:szCs w:val="32"/>
          <w:highlight w:val="none"/>
          <w:lang w:eastAsia="zh-CN"/>
        </w:rPr>
        <w:t>电力缺口</w:t>
      </w:r>
      <w:r>
        <w:rPr>
          <w:rFonts w:hint="default" w:ascii="Times New Roman" w:hAnsi="Times New Roman" w:eastAsia="方正仿宋_GBK" w:cs="Times New Roman"/>
          <w:b/>
          <w:bCs/>
          <w:color w:val="auto"/>
          <w:sz w:val="32"/>
          <w:szCs w:val="32"/>
          <w:highlight w:val="none"/>
          <w:lang w:val="en-US" w:eastAsia="zh-CN"/>
        </w:rPr>
        <w:t>93</w:t>
      </w:r>
      <w:r>
        <w:rPr>
          <w:rFonts w:hint="default" w:ascii="Times New Roman" w:hAnsi="Times New Roman" w:eastAsia="方正仿宋_GBK" w:cs="Times New Roman"/>
          <w:b/>
          <w:bCs/>
          <w:color w:val="auto"/>
          <w:sz w:val="32"/>
          <w:szCs w:val="32"/>
          <w:highlight w:val="none"/>
        </w:rPr>
        <w:t>-1</w:t>
      </w:r>
      <w:r>
        <w:rPr>
          <w:rFonts w:hint="default" w:ascii="Times New Roman" w:hAnsi="Times New Roman" w:eastAsia="方正仿宋_GBK" w:cs="Times New Roman"/>
          <w:b/>
          <w:bCs/>
          <w:color w:val="auto"/>
          <w:sz w:val="32"/>
          <w:szCs w:val="32"/>
          <w:highlight w:val="none"/>
          <w:lang w:val="en-US" w:eastAsia="zh-CN"/>
        </w:rPr>
        <w:t>24</w:t>
      </w:r>
      <w:r>
        <w:rPr>
          <w:rFonts w:hint="default" w:ascii="Times New Roman" w:hAnsi="Times New Roman" w:eastAsia="方正仿宋_GBK" w:cs="Times New Roman"/>
          <w:b/>
          <w:bCs/>
          <w:color w:val="auto"/>
          <w:sz w:val="32"/>
          <w:szCs w:val="32"/>
          <w:highlight w:val="none"/>
        </w:rPr>
        <w:t>万千瓦</w:t>
      </w:r>
    </w:p>
    <w:p>
      <w:pPr>
        <w:keepNext w:val="0"/>
        <w:keepLines w:val="0"/>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启动负荷管理预案，常规方案难以覆盖</w:t>
      </w:r>
      <w:r>
        <w:rPr>
          <w:rFonts w:hint="default" w:ascii="Times New Roman" w:hAnsi="Times New Roman" w:eastAsia="方正仿宋_GBK" w:cs="Times New Roman"/>
          <w:color w:val="auto"/>
          <w:sz w:val="32"/>
          <w:szCs w:val="32"/>
          <w:highlight w:val="none"/>
          <w:lang w:eastAsia="zh-CN"/>
        </w:rPr>
        <w:t>电力缺口</w:t>
      </w:r>
      <w:r>
        <w:rPr>
          <w:rFonts w:hint="default" w:ascii="Times New Roman" w:hAnsi="Times New Roman" w:eastAsia="方正仿宋_GBK" w:cs="Times New Roman"/>
          <w:color w:val="auto"/>
          <w:sz w:val="32"/>
          <w:szCs w:val="32"/>
          <w:highlight w:val="none"/>
        </w:rPr>
        <w:t>，在Ⅳ响应的基础上各县区视</w:t>
      </w:r>
      <w:r>
        <w:rPr>
          <w:rFonts w:hint="default" w:ascii="Times New Roman" w:hAnsi="Times New Roman" w:eastAsia="方正仿宋_GBK" w:cs="Times New Roman"/>
          <w:color w:val="auto"/>
          <w:sz w:val="32"/>
          <w:szCs w:val="32"/>
          <w:highlight w:val="none"/>
          <w:lang w:eastAsia="zh-CN"/>
        </w:rPr>
        <w:t>电力缺口</w:t>
      </w:r>
      <w:r>
        <w:rPr>
          <w:rFonts w:hint="default" w:ascii="Times New Roman" w:hAnsi="Times New Roman" w:eastAsia="方正仿宋_GBK" w:cs="Times New Roman"/>
          <w:color w:val="auto"/>
          <w:sz w:val="32"/>
          <w:szCs w:val="32"/>
          <w:highlight w:val="none"/>
        </w:rPr>
        <w:t>情况安排普降、轮休措施。产业链重点客户按照普降方式（15%</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20%）降低部分生产性负荷。</w:t>
      </w:r>
    </w:p>
    <w:p>
      <w:pPr>
        <w:keepNext w:val="0"/>
        <w:keepLines w:val="0"/>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w:t>
      </w:r>
      <w:r>
        <w:rPr>
          <w:rFonts w:hint="eastAsia" w:ascii="Times New Roman" w:hAnsi="Times New Roman" w:eastAsia="方正仿宋_GBK" w:cs="Times New Roman"/>
          <w:color w:val="auto"/>
          <w:sz w:val="32"/>
          <w:szCs w:val="32"/>
          <w:highlight w:val="none"/>
          <w:lang w:val="en-US" w:eastAsia="zh-CN"/>
        </w:rPr>
        <w:t>短期电力缺口</w:t>
      </w:r>
    </w:p>
    <w:p>
      <w:pPr>
        <w:keepNext w:val="0"/>
        <w:keepLines w:val="0"/>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启动调休策略，对全部非连续性生产企业实施调休</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晚峰</w:t>
      </w:r>
      <w:r>
        <w:rPr>
          <w:rFonts w:hint="eastAsia" w:ascii="Times New Roman" w:hAnsi="Times New Roman" w:eastAsia="方正仿宋_GBK" w:cs="Times New Roman"/>
          <w:color w:val="auto"/>
          <w:sz w:val="32"/>
          <w:szCs w:val="32"/>
          <w:highlight w:val="none"/>
          <w:lang w:eastAsia="zh-CN"/>
        </w:rPr>
        <w:t>最大可调负荷</w:t>
      </w:r>
      <w:r>
        <w:rPr>
          <w:rFonts w:hint="default" w:ascii="Times New Roman" w:hAnsi="Times New Roman" w:eastAsia="方正仿宋_GBK" w:cs="Times New Roman"/>
          <w:color w:val="auto"/>
          <w:sz w:val="32"/>
          <w:szCs w:val="32"/>
          <w:highlight w:val="none"/>
        </w:rPr>
        <w:t>1</w:t>
      </w:r>
      <w:r>
        <w:rPr>
          <w:rFonts w:hint="default" w:ascii="Times New Roman" w:hAnsi="Times New Roman" w:eastAsia="方正仿宋_GBK" w:cs="Times New Roman"/>
          <w:color w:val="auto"/>
          <w:sz w:val="32"/>
          <w:szCs w:val="32"/>
          <w:highlight w:val="none"/>
          <w:lang w:val="en-US" w:eastAsia="zh-CN"/>
        </w:rPr>
        <w:t>00.69</w:t>
      </w:r>
      <w:r>
        <w:rPr>
          <w:rFonts w:hint="default" w:ascii="Times New Roman" w:hAnsi="Times New Roman" w:eastAsia="方正仿宋_GBK" w:cs="Times New Roman"/>
          <w:color w:val="auto"/>
          <w:sz w:val="32"/>
          <w:szCs w:val="32"/>
          <w:highlight w:val="none"/>
        </w:rPr>
        <w:t>万千瓦</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政府安排重点产业链客户按比例压降负荷</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晚峰</w:t>
      </w:r>
      <w:r>
        <w:rPr>
          <w:rFonts w:hint="eastAsia" w:ascii="Times New Roman" w:hAnsi="Times New Roman" w:eastAsia="方正仿宋_GBK" w:cs="Times New Roman"/>
          <w:color w:val="auto"/>
          <w:sz w:val="32"/>
          <w:szCs w:val="32"/>
          <w:highlight w:val="none"/>
          <w:lang w:eastAsia="zh-CN"/>
        </w:rPr>
        <w:t>最大可调负荷</w:t>
      </w:r>
      <w:r>
        <w:rPr>
          <w:rFonts w:hint="eastAsia" w:ascii="Times New Roman" w:hAnsi="Times New Roman" w:eastAsia="方正仿宋_GBK" w:cs="Times New Roman"/>
          <w:color w:val="auto"/>
          <w:sz w:val="32"/>
          <w:szCs w:val="32"/>
          <w:highlight w:val="none"/>
          <w:lang w:val="en-US" w:eastAsia="zh-CN"/>
        </w:rPr>
        <w:t>23.2</w:t>
      </w:r>
      <w:r>
        <w:rPr>
          <w:rFonts w:hint="default" w:ascii="Times New Roman" w:hAnsi="Times New Roman" w:eastAsia="方正仿宋_GBK" w:cs="Times New Roman"/>
          <w:color w:val="auto"/>
          <w:sz w:val="32"/>
          <w:szCs w:val="32"/>
          <w:highlight w:val="none"/>
        </w:rPr>
        <w:t>万千瓦</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总计晚峰</w:t>
      </w:r>
      <w:r>
        <w:rPr>
          <w:rFonts w:hint="eastAsia" w:ascii="Times New Roman" w:hAnsi="Times New Roman" w:eastAsia="方正仿宋_GBK" w:cs="Times New Roman"/>
          <w:color w:val="auto"/>
          <w:sz w:val="32"/>
          <w:szCs w:val="32"/>
          <w:highlight w:val="none"/>
          <w:lang w:eastAsia="zh-CN"/>
        </w:rPr>
        <w:t>最大可调能力</w:t>
      </w:r>
      <w:r>
        <w:rPr>
          <w:rFonts w:hint="eastAsia" w:ascii="Times New Roman" w:hAnsi="Times New Roman" w:eastAsia="方正仿宋_GBK" w:cs="Times New Roman"/>
          <w:color w:val="auto"/>
          <w:sz w:val="32"/>
          <w:szCs w:val="32"/>
          <w:highlight w:val="none"/>
          <w:lang w:val="en-US" w:eastAsia="zh-CN"/>
        </w:rPr>
        <w:t>123.89万</w:t>
      </w:r>
      <w:r>
        <w:rPr>
          <w:rFonts w:hint="default" w:ascii="Times New Roman" w:hAnsi="Times New Roman" w:eastAsia="方正仿宋_GBK" w:cs="Times New Roman"/>
          <w:color w:val="auto"/>
          <w:sz w:val="32"/>
          <w:szCs w:val="32"/>
          <w:highlight w:val="none"/>
        </w:rPr>
        <w:t>千瓦。</w:t>
      </w:r>
    </w:p>
    <w:p>
      <w:pPr>
        <w:keepNext w:val="0"/>
        <w:keepLines w:val="0"/>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rPr>
        <w:t>（2）</w:t>
      </w:r>
      <w:r>
        <w:rPr>
          <w:rFonts w:hint="eastAsia" w:ascii="Times New Roman" w:hAnsi="Times New Roman" w:eastAsia="方正仿宋_GBK" w:cs="Times New Roman"/>
          <w:color w:val="auto"/>
          <w:sz w:val="32"/>
          <w:szCs w:val="32"/>
          <w:highlight w:val="none"/>
          <w:lang w:val="en-US" w:eastAsia="zh-CN"/>
        </w:rPr>
        <w:t>连续性缺口调控措施</w:t>
      </w:r>
    </w:p>
    <w:p>
      <w:pPr>
        <w:keepNext w:val="0"/>
        <w:keepLines w:val="0"/>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直接启动轮休策略，执行保二错五方式</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晚峰</w:t>
      </w:r>
      <w:r>
        <w:rPr>
          <w:rFonts w:hint="eastAsia" w:ascii="Times New Roman" w:hAnsi="Times New Roman" w:eastAsia="方正仿宋_GBK" w:cs="Times New Roman"/>
          <w:color w:val="auto"/>
          <w:sz w:val="32"/>
          <w:szCs w:val="32"/>
          <w:highlight w:val="none"/>
          <w:lang w:eastAsia="zh-CN"/>
        </w:rPr>
        <w:t>最大可调负荷</w:t>
      </w:r>
      <w:r>
        <w:rPr>
          <w:rFonts w:hint="eastAsia" w:ascii="Times New Roman" w:hAnsi="Times New Roman" w:eastAsia="方正仿宋_GBK" w:cs="Times New Roman"/>
          <w:color w:val="auto"/>
          <w:sz w:val="32"/>
          <w:szCs w:val="32"/>
          <w:highlight w:val="none"/>
          <w:lang w:val="en-US" w:eastAsia="zh-CN"/>
        </w:rPr>
        <w:t>31.57</w:t>
      </w:r>
      <w:r>
        <w:rPr>
          <w:rFonts w:hint="default" w:ascii="Times New Roman" w:hAnsi="Times New Roman" w:eastAsia="方正仿宋_GBK" w:cs="Times New Roman"/>
          <w:color w:val="auto"/>
          <w:sz w:val="32"/>
          <w:szCs w:val="32"/>
          <w:highlight w:val="none"/>
        </w:rPr>
        <w:t>万千瓦。非工业柔性调控方案组均按最大调控目标实施，晚峰</w:t>
      </w:r>
      <w:r>
        <w:rPr>
          <w:rFonts w:hint="eastAsia" w:ascii="Times New Roman" w:hAnsi="Times New Roman" w:eastAsia="方正仿宋_GBK" w:cs="Times New Roman"/>
          <w:color w:val="auto"/>
          <w:sz w:val="32"/>
          <w:szCs w:val="32"/>
          <w:highlight w:val="none"/>
          <w:lang w:eastAsia="zh-CN"/>
        </w:rPr>
        <w:t>最大可调负荷</w:t>
      </w:r>
      <w:r>
        <w:rPr>
          <w:rFonts w:hint="eastAsia" w:ascii="Times New Roman" w:hAnsi="Times New Roman" w:eastAsia="方正仿宋_GBK" w:cs="Times New Roman"/>
          <w:color w:val="auto"/>
          <w:sz w:val="32"/>
          <w:szCs w:val="32"/>
          <w:highlight w:val="none"/>
          <w:lang w:val="en-US" w:eastAsia="zh-CN"/>
        </w:rPr>
        <w:t>8.37</w:t>
      </w:r>
      <w:r>
        <w:rPr>
          <w:rFonts w:hint="default" w:ascii="Times New Roman" w:hAnsi="Times New Roman" w:eastAsia="方正仿宋_GBK" w:cs="Times New Roman"/>
          <w:color w:val="auto"/>
          <w:sz w:val="32"/>
          <w:szCs w:val="32"/>
          <w:highlight w:val="none"/>
        </w:rPr>
        <w:t>万千瓦</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全部快上快下</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错避峰用户随时准备应对突发情况</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同步做好通知宣传工作，引导全社会</w:t>
      </w:r>
      <w:r>
        <w:rPr>
          <w:rFonts w:hint="eastAsia" w:ascii="Times New Roman" w:hAnsi="Times New Roman" w:eastAsia="方正仿宋_GBK" w:cs="Times New Roman"/>
          <w:color w:val="auto"/>
          <w:sz w:val="32"/>
          <w:szCs w:val="32"/>
          <w:highlight w:val="none"/>
          <w:lang w:eastAsia="zh-CN"/>
        </w:rPr>
        <w:t>共渡难关，</w:t>
      </w:r>
      <w:r>
        <w:rPr>
          <w:rFonts w:hint="eastAsia" w:ascii="Times New Roman" w:hAnsi="Times New Roman" w:eastAsia="方正仿宋_GBK" w:cs="Times New Roman"/>
          <w:color w:val="auto"/>
          <w:sz w:val="32"/>
          <w:szCs w:val="32"/>
          <w:highlight w:val="none"/>
          <w:lang w:val="en-US" w:eastAsia="zh-CN"/>
        </w:rPr>
        <w:t>合计</w:t>
      </w:r>
      <w:r>
        <w:rPr>
          <w:rFonts w:hint="default" w:ascii="Times New Roman" w:hAnsi="Times New Roman" w:eastAsia="方正仿宋_GBK" w:cs="Times New Roman"/>
          <w:color w:val="auto"/>
          <w:sz w:val="32"/>
          <w:szCs w:val="32"/>
          <w:highlight w:val="none"/>
        </w:rPr>
        <w:t>晚峰</w:t>
      </w:r>
      <w:r>
        <w:rPr>
          <w:rFonts w:hint="eastAsia" w:ascii="Times New Roman" w:hAnsi="Times New Roman" w:eastAsia="方正仿宋_GBK" w:cs="Times New Roman"/>
          <w:color w:val="auto"/>
          <w:sz w:val="32"/>
          <w:szCs w:val="32"/>
          <w:highlight w:val="none"/>
          <w:lang w:eastAsia="zh-CN"/>
        </w:rPr>
        <w:t>最大可调负荷</w:t>
      </w:r>
      <w:r>
        <w:rPr>
          <w:rFonts w:hint="eastAsia" w:ascii="Times New Roman" w:hAnsi="Times New Roman" w:eastAsia="方正仿宋_GBK" w:cs="Times New Roman"/>
          <w:color w:val="auto"/>
          <w:sz w:val="32"/>
          <w:szCs w:val="32"/>
          <w:highlight w:val="none"/>
          <w:lang w:val="en-US" w:eastAsia="zh-CN"/>
        </w:rPr>
        <w:t>124.14</w:t>
      </w:r>
      <w:r>
        <w:rPr>
          <w:rFonts w:hint="default" w:ascii="Times New Roman" w:hAnsi="Times New Roman" w:eastAsia="方正仿宋_GBK" w:cs="Times New Roman"/>
          <w:color w:val="auto"/>
          <w:sz w:val="32"/>
          <w:szCs w:val="32"/>
          <w:highlight w:val="none"/>
        </w:rPr>
        <w:t>万千瓦。</w:t>
      </w:r>
    </w:p>
    <w:p>
      <w:pPr>
        <w:keepNext w:val="0"/>
        <w:keepLines w:val="0"/>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Ⅱ级：</w:t>
      </w:r>
      <w:r>
        <w:rPr>
          <w:rFonts w:hint="default" w:ascii="Times New Roman" w:hAnsi="Times New Roman" w:eastAsia="方正仿宋_GBK" w:cs="Times New Roman"/>
          <w:b/>
          <w:bCs/>
          <w:color w:val="auto"/>
          <w:sz w:val="32"/>
          <w:szCs w:val="32"/>
          <w:highlight w:val="none"/>
          <w:lang w:eastAsia="zh-CN"/>
        </w:rPr>
        <w:t>电力缺口</w:t>
      </w:r>
      <w:r>
        <w:rPr>
          <w:rFonts w:hint="default" w:ascii="Times New Roman" w:hAnsi="Times New Roman" w:eastAsia="方正仿宋_GBK" w:cs="Times New Roman"/>
          <w:b/>
          <w:bCs/>
          <w:color w:val="auto"/>
          <w:sz w:val="32"/>
          <w:szCs w:val="32"/>
          <w:highlight w:val="none"/>
          <w:lang w:val="en-US" w:eastAsia="zh-CN"/>
        </w:rPr>
        <w:t>124</w:t>
      </w:r>
      <w:r>
        <w:rPr>
          <w:rFonts w:hint="default" w:ascii="Times New Roman" w:hAnsi="Times New Roman" w:eastAsia="方正仿宋_GBK" w:cs="Times New Roman"/>
          <w:b/>
          <w:bCs/>
          <w:color w:val="auto"/>
          <w:sz w:val="32"/>
          <w:szCs w:val="32"/>
          <w:highlight w:val="none"/>
        </w:rPr>
        <w:t>-</w:t>
      </w:r>
      <w:r>
        <w:rPr>
          <w:rFonts w:hint="default" w:ascii="Times New Roman" w:hAnsi="Times New Roman" w:eastAsia="方正仿宋_GBK" w:cs="Times New Roman"/>
          <w:b/>
          <w:bCs/>
          <w:color w:val="auto"/>
          <w:sz w:val="32"/>
          <w:szCs w:val="32"/>
          <w:highlight w:val="none"/>
          <w:lang w:val="en-US" w:eastAsia="zh-CN"/>
        </w:rPr>
        <w:t>155</w:t>
      </w:r>
      <w:r>
        <w:rPr>
          <w:rFonts w:hint="default" w:ascii="Times New Roman" w:hAnsi="Times New Roman" w:eastAsia="方正仿宋_GBK" w:cs="Times New Roman"/>
          <w:b/>
          <w:bCs/>
          <w:color w:val="auto"/>
          <w:sz w:val="32"/>
          <w:szCs w:val="32"/>
          <w:highlight w:val="none"/>
        </w:rPr>
        <w:t>万千瓦</w:t>
      </w:r>
    </w:p>
    <w:p>
      <w:pPr>
        <w:keepNext w:val="0"/>
        <w:keepLines w:val="0"/>
        <w:pageBreakBefore w:val="0"/>
        <w:widowControl w:val="0"/>
        <w:kinsoku/>
        <w:wordWrap/>
        <w:overflowPunct/>
        <w:topLinePunct w:val="0"/>
        <w:autoSpaceDE/>
        <w:autoSpaceDN/>
        <w:bidi w:val="0"/>
        <w:adjustRightInd/>
        <w:snapToGrid/>
        <w:spacing w:line="490" w:lineRule="exact"/>
        <w:ind w:firstLine="640"/>
        <w:textAlignment w:val="auto"/>
        <w:rPr>
          <w:rFonts w:hint="eastAsia" w:ascii="Times New Roman" w:hAnsi="Times New Roman" w:eastAsia="方正仿宋_GBK" w:cs="Times New Roman"/>
          <w:color w:val="auto"/>
          <w:sz w:val="32"/>
          <w:szCs w:val="32"/>
          <w:highlight w:val="none"/>
          <w:lang w:eastAsia="zh-CN"/>
        </w:rPr>
      </w:pPr>
      <w:r>
        <w:rPr>
          <w:rFonts w:hint="default" w:ascii="Times New Roman" w:hAnsi="Times New Roman" w:eastAsia="方正仿宋_GBK" w:cs="Times New Roman"/>
          <w:color w:val="auto"/>
          <w:sz w:val="32"/>
          <w:szCs w:val="32"/>
          <w:highlight w:val="none"/>
        </w:rPr>
        <w:t>启动负荷管理预案，常规方案难以覆盖</w:t>
      </w:r>
      <w:r>
        <w:rPr>
          <w:rFonts w:hint="default" w:ascii="Times New Roman" w:hAnsi="Times New Roman" w:eastAsia="方正仿宋_GBK" w:cs="Times New Roman"/>
          <w:color w:val="auto"/>
          <w:sz w:val="32"/>
          <w:szCs w:val="32"/>
          <w:highlight w:val="none"/>
          <w:lang w:eastAsia="zh-CN"/>
        </w:rPr>
        <w:t>电力缺口</w:t>
      </w:r>
      <w:r>
        <w:rPr>
          <w:rFonts w:hint="default" w:ascii="Times New Roman" w:hAnsi="Times New Roman" w:eastAsia="方正仿宋_GBK" w:cs="Times New Roman"/>
          <w:color w:val="auto"/>
          <w:sz w:val="32"/>
          <w:szCs w:val="32"/>
          <w:highlight w:val="none"/>
        </w:rPr>
        <w:t>，直接启动轮休策略，执行保一错六方式</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晚峰</w:t>
      </w:r>
      <w:r>
        <w:rPr>
          <w:rFonts w:hint="eastAsia" w:ascii="Times New Roman" w:hAnsi="Times New Roman" w:eastAsia="方正仿宋_GBK" w:cs="Times New Roman"/>
          <w:color w:val="auto"/>
          <w:sz w:val="32"/>
          <w:szCs w:val="32"/>
          <w:highlight w:val="none"/>
          <w:lang w:eastAsia="zh-CN"/>
        </w:rPr>
        <w:t>最大可调负荷</w:t>
      </w:r>
      <w:r>
        <w:rPr>
          <w:rFonts w:hint="eastAsia" w:ascii="Times New Roman" w:hAnsi="Times New Roman" w:eastAsia="方正仿宋_GBK" w:cs="Times New Roman"/>
          <w:color w:val="auto"/>
          <w:sz w:val="32"/>
          <w:szCs w:val="32"/>
          <w:highlight w:val="none"/>
          <w:lang w:val="en-US" w:eastAsia="zh-CN"/>
        </w:rPr>
        <w:t>94.73</w:t>
      </w:r>
      <w:r>
        <w:rPr>
          <w:rFonts w:hint="default" w:ascii="Times New Roman" w:hAnsi="Times New Roman" w:eastAsia="方正仿宋_GBK" w:cs="Times New Roman"/>
          <w:color w:val="auto"/>
          <w:sz w:val="32"/>
          <w:szCs w:val="32"/>
          <w:highlight w:val="none"/>
        </w:rPr>
        <w:t>万千瓦。产业链重点客户按照普降方式（20%</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30%）降低部分生产性负荷</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总计晚峰</w:t>
      </w:r>
      <w:r>
        <w:rPr>
          <w:rFonts w:hint="eastAsia" w:ascii="Times New Roman" w:hAnsi="Times New Roman" w:eastAsia="方正仿宋_GBK" w:cs="Times New Roman"/>
          <w:color w:val="auto"/>
          <w:sz w:val="32"/>
          <w:szCs w:val="32"/>
          <w:highlight w:val="none"/>
          <w:lang w:eastAsia="zh-CN"/>
        </w:rPr>
        <w:t>最大可调能力</w:t>
      </w:r>
      <w:r>
        <w:rPr>
          <w:rFonts w:hint="eastAsia" w:ascii="Times New Roman" w:hAnsi="Times New Roman" w:eastAsia="方正仿宋_GBK" w:cs="Times New Roman"/>
          <w:color w:val="auto"/>
          <w:sz w:val="32"/>
          <w:szCs w:val="32"/>
          <w:highlight w:val="none"/>
          <w:lang w:val="en-US" w:eastAsia="zh-CN"/>
        </w:rPr>
        <w:t>155.05万</w:t>
      </w:r>
      <w:r>
        <w:rPr>
          <w:rFonts w:hint="default" w:ascii="Times New Roman" w:hAnsi="Times New Roman" w:eastAsia="方正仿宋_GBK" w:cs="Times New Roman"/>
          <w:color w:val="auto"/>
          <w:sz w:val="32"/>
          <w:szCs w:val="32"/>
          <w:highlight w:val="none"/>
        </w:rPr>
        <w:t>千瓦</w:t>
      </w:r>
      <w:r>
        <w:rPr>
          <w:rFonts w:hint="eastAsia" w:ascii="Times New Roman" w:hAnsi="Times New Roman" w:eastAsia="方正仿宋_GBK" w:cs="Times New Roman"/>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Ⅰ级：</w:t>
      </w:r>
      <w:r>
        <w:rPr>
          <w:rFonts w:hint="default" w:ascii="Times New Roman" w:hAnsi="Times New Roman" w:eastAsia="方正仿宋_GBK" w:cs="Times New Roman"/>
          <w:b/>
          <w:bCs/>
          <w:color w:val="auto"/>
          <w:sz w:val="32"/>
          <w:szCs w:val="32"/>
          <w:highlight w:val="none"/>
          <w:lang w:eastAsia="zh-CN"/>
        </w:rPr>
        <w:t>电力缺口</w:t>
      </w:r>
      <w:r>
        <w:rPr>
          <w:rFonts w:hint="default" w:ascii="Times New Roman" w:hAnsi="Times New Roman" w:eastAsia="方正仿宋_GBK" w:cs="Times New Roman"/>
          <w:b/>
          <w:bCs/>
          <w:color w:val="auto"/>
          <w:sz w:val="32"/>
          <w:szCs w:val="32"/>
          <w:highlight w:val="none"/>
          <w:lang w:val="en-US" w:eastAsia="zh-CN"/>
        </w:rPr>
        <w:t>155</w:t>
      </w:r>
      <w:r>
        <w:rPr>
          <w:rFonts w:hint="default" w:ascii="Times New Roman" w:hAnsi="Times New Roman" w:eastAsia="方正仿宋_GBK" w:cs="Times New Roman"/>
          <w:b/>
          <w:bCs/>
          <w:color w:val="auto"/>
          <w:sz w:val="32"/>
          <w:szCs w:val="32"/>
          <w:highlight w:val="none"/>
        </w:rPr>
        <w:t>-</w:t>
      </w:r>
      <w:r>
        <w:rPr>
          <w:rFonts w:hint="default" w:ascii="Times New Roman" w:hAnsi="Times New Roman" w:eastAsia="方正仿宋_GBK" w:cs="Times New Roman"/>
          <w:b/>
          <w:bCs/>
          <w:color w:val="auto"/>
          <w:sz w:val="32"/>
          <w:szCs w:val="32"/>
          <w:highlight w:val="none"/>
          <w:lang w:val="en-US" w:eastAsia="zh-CN"/>
        </w:rPr>
        <w:t>186</w:t>
      </w:r>
      <w:r>
        <w:rPr>
          <w:rFonts w:hint="default" w:ascii="Times New Roman" w:hAnsi="Times New Roman" w:eastAsia="方正仿宋_GBK" w:cs="Times New Roman"/>
          <w:b/>
          <w:bCs/>
          <w:color w:val="auto"/>
          <w:sz w:val="32"/>
          <w:szCs w:val="32"/>
          <w:highlight w:val="none"/>
        </w:rPr>
        <w:t>万千瓦以上</w:t>
      </w:r>
    </w:p>
    <w:p>
      <w:pPr>
        <w:keepNext w:val="0"/>
        <w:keepLines w:val="0"/>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该等级</w:t>
      </w:r>
      <w:r>
        <w:rPr>
          <w:rFonts w:hint="default" w:ascii="Times New Roman" w:hAnsi="Times New Roman" w:eastAsia="方正仿宋_GBK" w:cs="Times New Roman"/>
          <w:color w:val="auto"/>
          <w:sz w:val="32"/>
          <w:szCs w:val="32"/>
          <w:highlight w:val="none"/>
          <w:lang w:eastAsia="zh-CN"/>
        </w:rPr>
        <w:t>电力缺口</w:t>
      </w:r>
      <w:r>
        <w:rPr>
          <w:rFonts w:hint="default" w:ascii="Times New Roman" w:hAnsi="Times New Roman" w:eastAsia="方正仿宋_GBK" w:cs="Times New Roman"/>
          <w:color w:val="auto"/>
          <w:sz w:val="32"/>
          <w:szCs w:val="32"/>
          <w:highlight w:val="none"/>
        </w:rPr>
        <w:t>达能力上限，各县区在Ⅱ级</w:t>
      </w:r>
      <w:r>
        <w:rPr>
          <w:rFonts w:hint="default" w:ascii="Times New Roman" w:hAnsi="Times New Roman" w:eastAsia="方正仿宋_GBK" w:cs="Times New Roman"/>
          <w:color w:val="auto"/>
          <w:sz w:val="32"/>
          <w:szCs w:val="32"/>
          <w:highlight w:val="none"/>
          <w:lang w:eastAsia="zh-CN"/>
        </w:rPr>
        <w:t>电力缺口</w:t>
      </w:r>
      <w:r>
        <w:rPr>
          <w:rFonts w:hint="default" w:ascii="Times New Roman" w:hAnsi="Times New Roman" w:eastAsia="方正仿宋_GBK" w:cs="Times New Roman"/>
          <w:color w:val="auto"/>
          <w:sz w:val="32"/>
          <w:szCs w:val="32"/>
          <w:highlight w:val="none"/>
        </w:rPr>
        <w:t>的基础上，将全量工业客户（含政府重点保障企业）开展负荷管理。根据负荷管理成效执行情况，对参与负荷管理客户采取负荷控制措施</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晚峰</w:t>
      </w:r>
      <w:r>
        <w:rPr>
          <w:rFonts w:hint="eastAsia" w:ascii="Times New Roman" w:hAnsi="Times New Roman" w:eastAsia="方正仿宋_GBK" w:cs="Times New Roman"/>
          <w:color w:val="auto"/>
          <w:sz w:val="32"/>
          <w:szCs w:val="32"/>
          <w:highlight w:val="none"/>
          <w:lang w:val="en-US" w:eastAsia="zh-CN"/>
        </w:rPr>
        <w:t>最大</w:t>
      </w:r>
      <w:r>
        <w:rPr>
          <w:rFonts w:hint="default" w:ascii="Times New Roman" w:hAnsi="Times New Roman" w:eastAsia="方正仿宋_GBK" w:cs="Times New Roman"/>
          <w:color w:val="auto"/>
          <w:sz w:val="32"/>
          <w:szCs w:val="32"/>
          <w:highlight w:val="none"/>
        </w:rPr>
        <w:t>可调能力</w:t>
      </w:r>
      <w:r>
        <w:rPr>
          <w:rFonts w:hint="eastAsia" w:ascii="Times New Roman" w:hAnsi="Times New Roman" w:eastAsia="方正仿宋_GBK" w:cs="Times New Roman"/>
          <w:color w:val="auto"/>
          <w:sz w:val="32"/>
          <w:szCs w:val="32"/>
          <w:highlight w:val="none"/>
          <w:lang w:val="en-US" w:eastAsia="zh-CN"/>
        </w:rPr>
        <w:t>189.08万</w:t>
      </w:r>
      <w:r>
        <w:rPr>
          <w:rFonts w:hint="default" w:ascii="Times New Roman" w:hAnsi="Times New Roman" w:eastAsia="方正仿宋_GBK" w:cs="Times New Roman"/>
          <w:color w:val="auto"/>
          <w:sz w:val="32"/>
          <w:szCs w:val="32"/>
          <w:highlight w:val="none"/>
        </w:rPr>
        <w:t>千瓦</w:t>
      </w:r>
      <w:r>
        <w:rPr>
          <w:rFonts w:hint="eastAsia" w:ascii="Times New Roman" w:hAnsi="Times New Roman" w:eastAsia="方正仿宋_GBK" w:cs="Times New Roman"/>
          <w:color w:val="auto"/>
          <w:sz w:val="32"/>
          <w:szCs w:val="32"/>
          <w:highlight w:val="none"/>
          <w:lang w:eastAsia="zh-CN"/>
        </w:rPr>
        <w:t>。</w:t>
      </w:r>
    </w:p>
    <w:p>
      <w:pPr>
        <w:pStyle w:val="5"/>
        <w:keepNext w:val="0"/>
        <w:keepLines w:val="0"/>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z w:val="32"/>
          <w:szCs w:val="32"/>
          <w:highlight w:val="none"/>
        </w:rPr>
      </w:pPr>
      <w:bookmarkStart w:id="116" w:name="_Toc15415"/>
      <w:bookmarkStart w:id="117" w:name="_Toc17543"/>
      <w:r>
        <w:rPr>
          <w:rFonts w:hint="default" w:ascii="Times New Roman" w:hAnsi="Times New Roman" w:eastAsia="方正仿宋_GBK" w:cs="Times New Roman"/>
          <w:color w:val="auto"/>
          <w:sz w:val="32"/>
          <w:szCs w:val="32"/>
          <w:highlight w:val="none"/>
        </w:rPr>
        <w:t>5.3  其他节电措施</w:t>
      </w:r>
      <w:bookmarkEnd w:id="116"/>
      <w:bookmarkEnd w:id="117"/>
    </w:p>
    <w:p>
      <w:pPr>
        <w:keepNext w:val="0"/>
        <w:keepLines w:val="0"/>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迎峰度夏（冬）期间在各县（区）主管部门主导下通过宣传、媒体监督、督查队暗访等形式，压降空调照明等非生产性负荷。</w:t>
      </w:r>
    </w:p>
    <w:p>
      <w:pPr>
        <w:keepNext w:val="0"/>
        <w:keepLines w:val="0"/>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（1）对于本方案外的机关事业单位、商场宾馆饭店娱乐场所等公共场所均纳入管控范围，迎峰度夏期间空调温度设定不低于26度（建议政府单位设置不低于27度）；</w:t>
      </w:r>
    </w:p>
    <w:p>
      <w:pPr>
        <w:keepNext w:val="0"/>
        <w:keepLines w:val="0"/>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（2）迎峰度夏期间，选取用电负荷较高的小区，重点开展分时电价、节约用电宣传，通过减少户均空调使用数量、合理设置空调温度，降低居民空调负荷；</w:t>
      </w:r>
    </w:p>
    <w:p>
      <w:pPr>
        <w:keepNext w:val="0"/>
        <w:keepLines w:val="0"/>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（3）积极开展进校园宣传活动，向全市80余万中小学生家长推送节约用电和安全用电小常识，引导居民客户压降空调负荷；</w:t>
      </w:r>
    </w:p>
    <w:p>
      <w:pPr>
        <w:keepNext w:val="0"/>
        <w:keepLines w:val="0"/>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（4）调整公交充电站电动公交汽车及</w:t>
      </w:r>
      <w:r>
        <w:rPr>
          <w:rFonts w:hint="default" w:ascii="Times New Roman" w:hAnsi="Times New Roman" w:eastAsia="方正仿宋_GBK" w:cs="Times New Roman"/>
          <w:color w:val="auto"/>
          <w:sz w:val="32"/>
          <w:szCs w:val="32"/>
          <w:highlight w:val="none"/>
          <w:lang w:eastAsia="zh-CN"/>
        </w:rPr>
        <w:t>需求侧储能类资源</w:t>
      </w:r>
      <w:r>
        <w:rPr>
          <w:rFonts w:hint="default" w:ascii="Times New Roman" w:hAnsi="Times New Roman" w:eastAsia="方正仿宋_GBK" w:cs="Times New Roman"/>
          <w:color w:val="auto"/>
          <w:sz w:val="32"/>
          <w:szCs w:val="32"/>
          <w:highlight w:val="none"/>
        </w:rPr>
        <w:t>设备充电时间等；</w:t>
      </w:r>
    </w:p>
    <w:p>
      <w:pPr>
        <w:keepNext w:val="0"/>
        <w:keepLines w:val="0"/>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 xml:space="preserve">（5）各县区协调其他连续性生产企业制定高温检修计划，以缓解迎峰度夏的压力。 </w:t>
      </w:r>
    </w:p>
    <w:p>
      <w:pPr>
        <w:pStyle w:val="5"/>
        <w:keepNext w:val="0"/>
        <w:keepLines w:val="0"/>
        <w:pageBreakBefore w:val="0"/>
        <w:widowControl w:val="0"/>
        <w:kinsoku/>
        <w:wordWrap/>
        <w:overflowPunct/>
        <w:topLinePunct w:val="0"/>
        <w:autoSpaceDE/>
        <w:autoSpaceDN/>
        <w:bidi w:val="0"/>
        <w:adjustRightInd/>
        <w:snapToGrid/>
        <w:spacing w:line="490" w:lineRule="exact"/>
        <w:textAlignment w:val="auto"/>
        <w:rPr>
          <w:rFonts w:hint="default" w:ascii="Times New Roman" w:hAnsi="Times New Roman" w:eastAsia="方正仿宋_GBK" w:cs="Times New Roman"/>
          <w:color w:val="auto"/>
          <w:sz w:val="32"/>
          <w:szCs w:val="32"/>
          <w:highlight w:val="none"/>
        </w:rPr>
      </w:pPr>
      <w:bookmarkStart w:id="118" w:name="_Toc16342"/>
      <w:bookmarkStart w:id="119" w:name="_Toc1848"/>
      <w:r>
        <w:rPr>
          <w:rFonts w:hint="default" w:ascii="Times New Roman" w:hAnsi="Times New Roman" w:eastAsia="方正仿宋_GBK" w:cs="Times New Roman"/>
          <w:color w:val="auto"/>
          <w:sz w:val="32"/>
          <w:szCs w:val="32"/>
          <w:highlight w:val="none"/>
        </w:rPr>
        <w:t xml:space="preserve"> 5.</w:t>
      </w:r>
      <w:r>
        <w:rPr>
          <w:rFonts w:hint="default" w:ascii="Times New Roman" w:hAnsi="Times New Roman" w:eastAsia="方正仿宋_GBK" w:cs="Times New Roman"/>
          <w:color w:val="auto"/>
          <w:sz w:val="32"/>
          <w:szCs w:val="32"/>
          <w:highlight w:val="none"/>
          <w:lang w:val="en-US" w:eastAsia="zh-CN"/>
        </w:rPr>
        <w:t>4</w:t>
      </w:r>
      <w:r>
        <w:rPr>
          <w:rFonts w:hint="default" w:ascii="Times New Roman" w:hAnsi="Times New Roman" w:eastAsia="方正仿宋_GBK" w:cs="Times New Roman"/>
          <w:color w:val="auto"/>
          <w:sz w:val="32"/>
          <w:szCs w:val="32"/>
          <w:highlight w:val="none"/>
        </w:rPr>
        <w:t xml:space="preserve">  方案执行</w:t>
      </w:r>
      <w:bookmarkEnd w:id="118"/>
      <w:bookmarkEnd w:id="119"/>
    </w:p>
    <w:p>
      <w:pPr>
        <w:keepNext w:val="0"/>
        <w:keepLines w:val="0"/>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为有效应对电力紧张局势，尽量减少对经济的影响，确保《202</w:t>
      </w:r>
      <w:r>
        <w:rPr>
          <w:rFonts w:hint="default" w:ascii="Times New Roman" w:hAnsi="Times New Roman" w:eastAsia="方正仿宋_GBK" w:cs="Times New Roman"/>
          <w:color w:val="auto"/>
          <w:sz w:val="32"/>
          <w:szCs w:val="32"/>
          <w:highlight w:val="none"/>
          <w:lang w:val="en-US" w:eastAsia="zh-CN"/>
        </w:rPr>
        <w:t>5</w:t>
      </w:r>
      <w:r>
        <w:rPr>
          <w:rFonts w:hint="default" w:ascii="Times New Roman" w:hAnsi="Times New Roman" w:eastAsia="方正仿宋_GBK" w:cs="Times New Roman"/>
          <w:color w:val="auto"/>
          <w:sz w:val="32"/>
          <w:szCs w:val="32"/>
          <w:highlight w:val="none"/>
        </w:rPr>
        <w:t>年宿迁市电力负荷管理预案》执行到位，特制订电力负荷管理预案实施流程。</w:t>
      </w:r>
    </w:p>
    <w:p>
      <w:pPr>
        <w:pStyle w:val="7"/>
        <w:keepNext w:val="0"/>
        <w:keepLines w:val="0"/>
        <w:pageBreakBefore w:val="0"/>
        <w:widowControl w:val="0"/>
        <w:kinsoku/>
        <w:wordWrap/>
        <w:overflowPunct/>
        <w:topLinePunct w:val="0"/>
        <w:autoSpaceDE/>
        <w:autoSpaceDN/>
        <w:bidi w:val="0"/>
        <w:adjustRightInd/>
        <w:snapToGrid/>
        <w:spacing w:line="490" w:lineRule="exact"/>
        <w:textAlignment w:val="auto"/>
        <w:rPr>
          <w:rFonts w:hint="default" w:ascii="Times New Roman" w:hAnsi="Times New Roman" w:eastAsia="方正仿宋_GBK" w:cs="Times New Roman"/>
          <w:color w:val="auto"/>
          <w:sz w:val="32"/>
          <w:szCs w:val="32"/>
          <w:highlight w:val="none"/>
        </w:rPr>
      </w:pPr>
      <w:bookmarkStart w:id="120" w:name="_Toc31750"/>
      <w:r>
        <w:rPr>
          <w:rFonts w:hint="default" w:ascii="Times New Roman" w:hAnsi="Times New Roman" w:eastAsia="方正仿宋_GBK" w:cs="Times New Roman"/>
          <w:color w:val="auto"/>
          <w:sz w:val="32"/>
          <w:szCs w:val="32"/>
          <w:highlight w:val="none"/>
        </w:rPr>
        <w:t>5.</w:t>
      </w:r>
      <w:r>
        <w:rPr>
          <w:rFonts w:hint="default" w:ascii="Times New Roman" w:hAnsi="Times New Roman" w:eastAsia="方正仿宋_GBK" w:cs="Times New Roman"/>
          <w:color w:val="auto"/>
          <w:sz w:val="32"/>
          <w:szCs w:val="32"/>
          <w:highlight w:val="none"/>
          <w:lang w:val="en-US" w:eastAsia="zh-CN"/>
        </w:rPr>
        <w:t>4</w:t>
      </w:r>
      <w:r>
        <w:rPr>
          <w:rFonts w:hint="default" w:ascii="Times New Roman" w:hAnsi="Times New Roman" w:eastAsia="方正仿宋_GBK" w:cs="Times New Roman"/>
          <w:color w:val="auto"/>
          <w:sz w:val="32"/>
          <w:szCs w:val="32"/>
          <w:highlight w:val="none"/>
        </w:rPr>
        <w:t>.1  执行原则</w:t>
      </w:r>
      <w:bookmarkEnd w:id="120"/>
    </w:p>
    <w:p>
      <w:pPr>
        <w:keepNext w:val="0"/>
        <w:keepLines w:val="0"/>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在202</w:t>
      </w:r>
      <w:r>
        <w:rPr>
          <w:rFonts w:hint="default" w:ascii="Times New Roman" w:hAnsi="Times New Roman" w:eastAsia="方正仿宋_GBK" w:cs="Times New Roman"/>
          <w:color w:val="auto"/>
          <w:sz w:val="32"/>
          <w:szCs w:val="32"/>
          <w:highlight w:val="none"/>
          <w:lang w:val="en-US" w:eastAsia="zh-CN"/>
        </w:rPr>
        <w:t>5</w:t>
      </w:r>
      <w:r>
        <w:rPr>
          <w:rFonts w:hint="default" w:ascii="Times New Roman" w:hAnsi="Times New Roman" w:eastAsia="方正仿宋_GBK" w:cs="Times New Roman"/>
          <w:color w:val="auto"/>
          <w:sz w:val="32"/>
          <w:szCs w:val="32"/>
          <w:highlight w:val="none"/>
        </w:rPr>
        <w:t xml:space="preserve">年迎峰度夏及迎峰度冬的错峰、避峰及需求响应实施期间，必须坚持以下几项原则： </w:t>
      </w:r>
    </w:p>
    <w:p>
      <w:pPr>
        <w:keepNext w:val="0"/>
        <w:keepLines w:val="0"/>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1.提前通知：在条件许可的情况下，尽早通知用户错避峰，给用户留有时间自行降低负荷，可以降低用户损失，保障用户安全。</w:t>
      </w:r>
    </w:p>
    <w:p>
      <w:pPr>
        <w:keepNext w:val="0"/>
        <w:keepLines w:val="0"/>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2.通知到户：通过负控终端发布中文信息、向企业负责人和联系人发布手机短信、负控喊话等多种手段，对于重点错峰用户，再通过电话进行通知，将电力负荷管理信息</w:t>
      </w:r>
      <w:r>
        <w:rPr>
          <w:rFonts w:hint="eastAsia" w:ascii="Times New Roman" w:hAnsi="Times New Roman" w:eastAsia="方正仿宋_GBK" w:cs="Times New Roman"/>
          <w:color w:val="auto"/>
          <w:sz w:val="32"/>
          <w:szCs w:val="32"/>
          <w:highlight w:val="none"/>
          <w:lang w:eastAsia="zh-CN"/>
        </w:rPr>
        <w:t>传到</w:t>
      </w:r>
      <w:r>
        <w:rPr>
          <w:rFonts w:hint="default" w:ascii="Times New Roman" w:hAnsi="Times New Roman" w:eastAsia="方正仿宋_GBK" w:cs="Times New Roman"/>
          <w:color w:val="auto"/>
          <w:sz w:val="32"/>
          <w:szCs w:val="32"/>
          <w:highlight w:val="none"/>
        </w:rPr>
        <w:t>每个涉及用户。</w:t>
      </w:r>
    </w:p>
    <w:p>
      <w:pPr>
        <w:keepNext w:val="0"/>
        <w:keepLines w:val="0"/>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3.政令畅通：电力负荷管理指令信息及时发布，指令发布、传达需做到清晰，必须明确执行日期、执行时间段，告知用户该时段内用电负荷要控制在多少以内或明确要下降多少负荷等。</w:t>
      </w:r>
    </w:p>
    <w:p>
      <w:pPr>
        <w:keepNext w:val="0"/>
        <w:keepLines w:val="0"/>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4.责任到人：明确企业联系人、电力负荷管理责任人、负责人，确保各项指令、信息能传达到位。</w:t>
      </w:r>
    </w:p>
    <w:p>
      <w:pPr>
        <w:keepNext w:val="0"/>
        <w:keepLines w:val="0"/>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5.令行禁止：要保证电力负荷管理指令传递的严肃性、时效性、准确性、对外的一致性，做到纪律严明，执行认真。</w:t>
      </w:r>
    </w:p>
    <w:p>
      <w:pPr>
        <w:keepNext w:val="0"/>
        <w:keepLines w:val="0"/>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pacing w:val="-6"/>
          <w:sz w:val="32"/>
          <w:szCs w:val="32"/>
          <w:highlight w:val="none"/>
        </w:rPr>
      </w:pPr>
      <w:r>
        <w:rPr>
          <w:rFonts w:hint="default" w:ascii="Times New Roman" w:hAnsi="Times New Roman" w:eastAsia="方正仿宋_GBK" w:cs="Times New Roman"/>
          <w:color w:val="auto"/>
          <w:sz w:val="32"/>
          <w:szCs w:val="32"/>
          <w:highlight w:val="none"/>
        </w:rPr>
        <w:t>6.监督到位：安排定点人员现场值守、督查执行效果；</w:t>
      </w:r>
      <w:r>
        <w:rPr>
          <w:rFonts w:hint="default" w:ascii="Times New Roman" w:hAnsi="Times New Roman" w:eastAsia="方正仿宋_GBK" w:cs="Times New Roman"/>
          <w:color w:val="auto"/>
          <w:spacing w:val="-6"/>
          <w:sz w:val="32"/>
          <w:szCs w:val="32"/>
          <w:highlight w:val="none"/>
        </w:rPr>
        <w:t>在企业拒不执行</w:t>
      </w:r>
      <w:r>
        <w:rPr>
          <w:rFonts w:hint="default" w:ascii="Times New Roman" w:hAnsi="Times New Roman" w:eastAsia="方正仿宋_GBK" w:cs="Times New Roman"/>
          <w:color w:val="auto"/>
          <w:spacing w:val="-6"/>
          <w:sz w:val="32"/>
          <w:szCs w:val="32"/>
          <w:highlight w:val="none"/>
          <w:lang w:val="en-US" w:eastAsia="zh-CN"/>
        </w:rPr>
        <w:t>错峰</w:t>
      </w:r>
      <w:r>
        <w:rPr>
          <w:rFonts w:hint="default" w:ascii="Times New Roman" w:hAnsi="Times New Roman" w:eastAsia="方正仿宋_GBK" w:cs="Times New Roman"/>
          <w:color w:val="auto"/>
          <w:spacing w:val="-6"/>
          <w:sz w:val="32"/>
          <w:szCs w:val="32"/>
          <w:highlight w:val="none"/>
        </w:rPr>
        <w:t>操作时及时向电力负荷管理办公室汇报。</w:t>
      </w:r>
    </w:p>
    <w:p>
      <w:pPr>
        <w:keepNext w:val="0"/>
        <w:keepLines w:val="0"/>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7.如实记录：将实施电力负荷管理过程进行详细记录，并如实记录各执行环节及结果，以便于事后进行检查、总结。</w:t>
      </w:r>
    </w:p>
    <w:p>
      <w:pPr>
        <w:keepNext w:val="0"/>
        <w:keepLines w:val="0"/>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8.事后检查：加大电力负荷管理执行情况的监督、检查、考核力度，建立电力负荷管理执行情况工作简报，每日对电力负荷</w:t>
      </w:r>
      <w:r>
        <w:rPr>
          <w:rFonts w:hint="eastAsia" w:ascii="Times New Roman" w:hAnsi="Times New Roman" w:eastAsia="方正仿宋_GBK" w:cs="Times New Roman"/>
          <w:color w:val="auto"/>
          <w:sz w:val="32"/>
          <w:szCs w:val="32"/>
          <w:highlight w:val="none"/>
          <w:lang w:eastAsia="zh-CN"/>
        </w:rPr>
        <w:t>管理</w:t>
      </w:r>
      <w:r>
        <w:rPr>
          <w:rFonts w:hint="default" w:ascii="Times New Roman" w:hAnsi="Times New Roman" w:eastAsia="方正仿宋_GBK" w:cs="Times New Roman"/>
          <w:color w:val="auto"/>
          <w:sz w:val="32"/>
          <w:szCs w:val="32"/>
          <w:highlight w:val="none"/>
        </w:rPr>
        <w:t>执行情况进行通报点评。同时加强对电力负荷管</w:t>
      </w:r>
      <w:r>
        <w:rPr>
          <w:rFonts w:hint="default" w:ascii="Times New Roman" w:hAnsi="Times New Roman" w:eastAsia="方正仿宋_GBK" w:cs="Times New Roman"/>
          <w:color w:val="auto"/>
          <w:sz w:val="32"/>
          <w:szCs w:val="32"/>
          <w:highlight w:val="none"/>
          <w:lang w:val="en-US" w:eastAsia="zh-CN"/>
        </w:rPr>
        <w:t>理</w:t>
      </w:r>
      <w:r>
        <w:rPr>
          <w:rFonts w:hint="default" w:ascii="Times New Roman" w:hAnsi="Times New Roman" w:eastAsia="方正仿宋_GBK" w:cs="Times New Roman"/>
          <w:color w:val="auto"/>
          <w:sz w:val="32"/>
          <w:szCs w:val="32"/>
          <w:highlight w:val="none"/>
        </w:rPr>
        <w:t>错峰流程和督查人员现场督查规范性的考核，对于违规操作现象及时予以通报。</w:t>
      </w:r>
    </w:p>
    <w:p>
      <w:pPr>
        <w:pStyle w:val="5"/>
        <w:keepNext w:val="0"/>
        <w:keepLines w:val="0"/>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z w:val="32"/>
          <w:szCs w:val="32"/>
          <w:highlight w:val="none"/>
        </w:rPr>
      </w:pPr>
      <w:bookmarkStart w:id="121" w:name="_Toc13501"/>
      <w:r>
        <w:rPr>
          <w:rFonts w:hint="default" w:ascii="Times New Roman" w:hAnsi="Times New Roman" w:eastAsia="方正仿宋_GBK" w:cs="Times New Roman"/>
          <w:color w:val="auto"/>
          <w:sz w:val="32"/>
          <w:szCs w:val="32"/>
          <w:highlight w:val="none"/>
        </w:rPr>
        <w:t>5.</w:t>
      </w:r>
      <w:r>
        <w:rPr>
          <w:rFonts w:hint="default" w:ascii="Times New Roman" w:hAnsi="Times New Roman" w:eastAsia="方正仿宋_GBK" w:cs="Times New Roman"/>
          <w:color w:val="auto"/>
          <w:sz w:val="32"/>
          <w:szCs w:val="32"/>
          <w:highlight w:val="none"/>
          <w:lang w:val="en-US" w:eastAsia="zh-CN"/>
        </w:rPr>
        <w:t>4</w:t>
      </w:r>
      <w:r>
        <w:rPr>
          <w:rFonts w:hint="default" w:ascii="Times New Roman" w:hAnsi="Times New Roman" w:eastAsia="方正仿宋_GBK" w:cs="Times New Roman"/>
          <w:color w:val="auto"/>
          <w:sz w:val="32"/>
          <w:szCs w:val="32"/>
          <w:highlight w:val="none"/>
        </w:rPr>
        <w:t>.2  实施流程</w:t>
      </w:r>
      <w:bookmarkEnd w:id="121"/>
    </w:p>
    <w:p>
      <w:pPr>
        <w:keepNext w:val="0"/>
        <w:keepLines w:val="0"/>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1.需求响应操作流程</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需求响应主要分为约定需求响应及实时需求响应两种类别。约定需求响应主要针对可预知的电网调控需求，响应具备计划性，便于用户安排生产和</w:t>
      </w:r>
      <w:r>
        <w:rPr>
          <w:rFonts w:hint="default" w:ascii="Times New Roman" w:hAnsi="Times New Roman" w:eastAsia="方正仿宋_GBK" w:cs="Times New Roman"/>
          <w:color w:val="auto"/>
          <w:sz w:val="32"/>
          <w:szCs w:val="32"/>
          <w:highlight w:val="none"/>
          <w:lang w:eastAsia="zh-CN"/>
        </w:rPr>
        <w:t>负荷聚合商</w:t>
      </w:r>
      <w:r>
        <w:rPr>
          <w:rFonts w:hint="default" w:ascii="Times New Roman" w:hAnsi="Times New Roman" w:eastAsia="方正仿宋_GBK" w:cs="Times New Roman"/>
          <w:color w:val="auto"/>
          <w:sz w:val="32"/>
          <w:szCs w:val="32"/>
          <w:highlight w:val="none"/>
        </w:rPr>
        <w:t>组织实施，是需求响应大负荷调控的优选措施，事后予以响应激励。实时响应是在电网存在快速响应或紧急调控需求时，可由电网企业直接调用该部分负荷资源，事后予以响应激励，是处置不可预见突发事故等场景的重要调控手段，执行实时需求响应用户电力负荷管理序列后置，确保用户有序安排生产计划。</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val="en-US" w:eastAsia="zh-CN"/>
        </w:rPr>
        <w:t>市</w:t>
      </w:r>
      <w:r>
        <w:rPr>
          <w:rFonts w:hint="default" w:ascii="Times New Roman" w:hAnsi="Times New Roman" w:eastAsia="方正仿宋_GBK" w:cs="Times New Roman"/>
          <w:color w:val="auto"/>
          <w:sz w:val="32"/>
          <w:szCs w:val="32"/>
          <w:highlight w:val="none"/>
        </w:rPr>
        <w:t>负荷管理中心在接到需求响应指令后，及时向本地营销部及发改委汇报，经批准同意后，</w:t>
      </w:r>
      <w:r>
        <w:rPr>
          <w:rFonts w:hint="default" w:ascii="Times New Roman" w:hAnsi="Times New Roman" w:eastAsia="方正仿宋_GBK" w:cs="Times New Roman"/>
          <w:color w:val="auto"/>
          <w:sz w:val="32"/>
          <w:szCs w:val="32"/>
          <w:highlight w:val="none"/>
          <w:lang w:val="en-US" w:eastAsia="zh-CN"/>
        </w:rPr>
        <w:t>通过</w:t>
      </w:r>
      <w:r>
        <w:rPr>
          <w:rFonts w:hint="default" w:ascii="Times New Roman" w:hAnsi="Times New Roman" w:eastAsia="方正仿宋_GBK" w:cs="Times New Roman"/>
          <w:color w:val="auto"/>
          <w:sz w:val="32"/>
          <w:szCs w:val="32"/>
          <w:highlight w:val="none"/>
        </w:rPr>
        <w:t>电话、手机短信、终端信息等方式通知企业联系人，企业联系人确认是否响应邀约。负荷管理中心实时监测企业负荷。</w:t>
      </w:r>
    </w:p>
    <w:p>
      <w:pPr>
        <w:ind w:firstLine="640"/>
        <w:rPr>
          <w:rFonts w:hint="default" w:ascii="Times New Roman" w:hAnsi="Times New Roman" w:cs="Times New Roman"/>
          <w:color w:val="auto"/>
          <w:szCs w:val="28"/>
          <w:highlight w:val="none"/>
        </w:rPr>
      </w:pPr>
      <w:r>
        <w:rPr>
          <w:rFonts w:hint="default" w:ascii="Times New Roman" w:hAnsi="Times New Roman" w:eastAsia="方正仿宋_GBK" w:cs="Times New Roman"/>
          <w:b/>
          <w:bCs/>
          <w:color w:val="auto"/>
          <w:sz w:val="32"/>
          <w:szCs w:val="32"/>
          <w:highlight w:val="none"/>
        </w:rPr>
        <w:t>需求响应实施流程说明：</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（1）根据</w:t>
      </w:r>
      <w:r>
        <w:rPr>
          <w:rFonts w:hint="default" w:ascii="Times New Roman" w:hAnsi="Times New Roman" w:eastAsia="方正仿宋_GBK" w:cs="Times New Roman"/>
          <w:color w:val="auto"/>
          <w:sz w:val="32"/>
          <w:szCs w:val="32"/>
          <w:highlight w:val="none"/>
          <w:lang w:val="en-US" w:eastAsia="zh-CN"/>
        </w:rPr>
        <w:t>省发改委需求响应细则等文件</w:t>
      </w:r>
      <w:r>
        <w:rPr>
          <w:rFonts w:hint="default" w:ascii="Times New Roman" w:hAnsi="Times New Roman" w:eastAsia="方正仿宋_GBK" w:cs="Times New Roman"/>
          <w:color w:val="auto"/>
          <w:sz w:val="32"/>
          <w:szCs w:val="32"/>
          <w:highlight w:val="none"/>
        </w:rPr>
        <w:t>，自愿参与需求响应的</w:t>
      </w:r>
      <w:r>
        <w:rPr>
          <w:rFonts w:hint="default" w:ascii="Times New Roman" w:hAnsi="Times New Roman" w:eastAsia="方正仿宋_GBK" w:cs="Times New Roman"/>
          <w:color w:val="auto"/>
          <w:sz w:val="32"/>
          <w:szCs w:val="32"/>
          <w:highlight w:val="none"/>
          <w:lang w:eastAsia="zh-CN"/>
        </w:rPr>
        <w:t>负荷聚合商</w:t>
      </w:r>
      <w:r>
        <w:rPr>
          <w:rFonts w:hint="default" w:ascii="Times New Roman" w:hAnsi="Times New Roman" w:eastAsia="方正仿宋_GBK" w:cs="Times New Roman"/>
          <w:color w:val="auto"/>
          <w:sz w:val="32"/>
          <w:szCs w:val="32"/>
          <w:highlight w:val="none"/>
        </w:rPr>
        <w:t>（用户）可登录江苏省电力需求侧管理平台（</w:t>
      </w:r>
      <w:r>
        <w:rPr>
          <w:rFonts w:hint="default" w:ascii="Times New Roman" w:hAnsi="Times New Roman" w:eastAsia="方正仿宋_GBK" w:cs="Times New Roman"/>
          <w:color w:val="000000"/>
          <w:kern w:val="0"/>
          <w:sz w:val="32"/>
          <w:szCs w:val="32"/>
          <w:highlight w:val="none"/>
          <w:lang w:val="en-US" w:eastAsia="zh-CN" w:bidi="ar"/>
        </w:rPr>
        <w:t>http://jsdsm.fzggw.jiangsu.gov.cn/</w:t>
      </w:r>
      <w:r>
        <w:rPr>
          <w:rFonts w:hint="default" w:ascii="Times New Roman" w:hAnsi="Times New Roman" w:eastAsia="方正仿宋_GBK" w:cs="Times New Roman"/>
          <w:color w:val="auto"/>
          <w:sz w:val="32"/>
          <w:szCs w:val="32"/>
          <w:highlight w:val="none"/>
        </w:rPr>
        <w:t>）进行网上申请。平台将分别在迎峰度夏、迎峰度冬前对申报成功的用户（</w:t>
      </w:r>
      <w:r>
        <w:rPr>
          <w:rFonts w:hint="default" w:ascii="Times New Roman" w:hAnsi="Times New Roman" w:eastAsia="方正仿宋_GBK" w:cs="Times New Roman"/>
          <w:color w:val="auto"/>
          <w:sz w:val="32"/>
          <w:szCs w:val="32"/>
          <w:highlight w:val="none"/>
          <w:lang w:eastAsia="zh-CN"/>
        </w:rPr>
        <w:t>负荷聚合商</w:t>
      </w:r>
      <w:r>
        <w:rPr>
          <w:rFonts w:hint="default" w:ascii="Times New Roman" w:hAnsi="Times New Roman" w:eastAsia="方正仿宋_GBK" w:cs="Times New Roman"/>
          <w:color w:val="auto"/>
          <w:sz w:val="32"/>
          <w:szCs w:val="32"/>
          <w:highlight w:val="none"/>
        </w:rPr>
        <w:t>）进行一次性邀约，应邀后即做好随时响应的准备，每次需求响应启动前通过平台、短信、电话、微信等方式直接通知，不再进行单次邀约。</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（2）市供电公司</w:t>
      </w:r>
      <w:r>
        <w:rPr>
          <w:rFonts w:hint="default" w:ascii="Times New Roman" w:hAnsi="Times New Roman" w:eastAsia="方正仿宋_GBK" w:cs="Times New Roman"/>
          <w:color w:val="auto"/>
          <w:sz w:val="32"/>
          <w:szCs w:val="32"/>
          <w:highlight w:val="none"/>
          <w:lang w:val="en-US" w:eastAsia="zh-CN"/>
        </w:rPr>
        <w:t>（电力负荷管理中心）会同市发改委根据保供曲线预测存在的</w:t>
      </w:r>
      <w:r>
        <w:rPr>
          <w:rFonts w:hint="eastAsia" w:ascii="Times New Roman" w:hAnsi="Times New Roman" w:eastAsia="方正仿宋_GBK" w:cs="Times New Roman"/>
          <w:color w:val="auto"/>
          <w:sz w:val="32"/>
          <w:szCs w:val="32"/>
          <w:highlight w:val="none"/>
          <w:lang w:val="en-US" w:eastAsia="zh-CN"/>
        </w:rPr>
        <w:t>电力</w:t>
      </w:r>
      <w:r>
        <w:rPr>
          <w:rFonts w:hint="default" w:ascii="Times New Roman" w:hAnsi="Times New Roman" w:eastAsia="方正仿宋_GBK" w:cs="Times New Roman"/>
          <w:color w:val="auto"/>
          <w:sz w:val="32"/>
          <w:szCs w:val="32"/>
          <w:highlight w:val="none"/>
          <w:lang w:val="en-US" w:eastAsia="zh-CN"/>
        </w:rPr>
        <w:t>缺口，根据相应原则确定并下达各县区保供曲线。市电力负荷管理中心组织各县区</w:t>
      </w:r>
      <w:r>
        <w:rPr>
          <w:rFonts w:hint="default" w:ascii="Times New Roman" w:hAnsi="Times New Roman" w:eastAsia="方正仿宋_GBK" w:cs="Times New Roman"/>
          <w:color w:val="auto"/>
          <w:sz w:val="32"/>
          <w:szCs w:val="32"/>
          <w:highlight w:val="none"/>
        </w:rPr>
        <w:t>初步确定响应</w:t>
      </w:r>
      <w:r>
        <w:rPr>
          <w:rFonts w:hint="default" w:ascii="Times New Roman" w:hAnsi="Times New Roman" w:eastAsia="方正仿宋_GBK" w:cs="Times New Roman"/>
          <w:color w:val="auto"/>
          <w:sz w:val="32"/>
          <w:szCs w:val="32"/>
          <w:highlight w:val="none"/>
          <w:lang w:val="en-US" w:eastAsia="zh-CN"/>
        </w:rPr>
        <w:t>用户清单</w:t>
      </w:r>
      <w:r>
        <w:rPr>
          <w:rFonts w:hint="default" w:ascii="Times New Roman" w:hAnsi="Times New Roman" w:eastAsia="方正仿宋_GBK" w:cs="Times New Roman"/>
          <w:color w:val="auto"/>
          <w:sz w:val="32"/>
          <w:szCs w:val="32"/>
          <w:highlight w:val="none"/>
        </w:rPr>
        <w:t>并报市发改委（暂定1:1.5）。市发改委批准后，</w:t>
      </w:r>
      <w:r>
        <w:rPr>
          <w:rFonts w:hint="default" w:ascii="Times New Roman" w:hAnsi="Times New Roman" w:eastAsia="方正仿宋_GBK" w:cs="Times New Roman"/>
          <w:color w:val="auto"/>
          <w:sz w:val="32"/>
          <w:szCs w:val="32"/>
          <w:highlight w:val="none"/>
          <w:lang w:val="en-US" w:eastAsia="zh-CN"/>
        </w:rPr>
        <w:t>由</w:t>
      </w:r>
      <w:r>
        <w:rPr>
          <w:rFonts w:hint="default" w:ascii="Times New Roman" w:hAnsi="Times New Roman" w:eastAsia="方正仿宋_GBK" w:cs="Times New Roman"/>
          <w:color w:val="auto"/>
          <w:sz w:val="32"/>
          <w:szCs w:val="32"/>
          <w:highlight w:val="none"/>
        </w:rPr>
        <w:t>市</w:t>
      </w:r>
      <w:r>
        <w:rPr>
          <w:rFonts w:hint="default" w:ascii="Times New Roman" w:hAnsi="Times New Roman" w:eastAsia="方正仿宋_GBK" w:cs="Times New Roman"/>
          <w:color w:val="auto"/>
          <w:sz w:val="32"/>
          <w:szCs w:val="32"/>
          <w:highlight w:val="none"/>
          <w:lang w:val="en-US" w:eastAsia="zh-CN"/>
        </w:rPr>
        <w:t>供电公司营销部</w:t>
      </w:r>
      <w:r>
        <w:rPr>
          <w:rFonts w:hint="default" w:ascii="Times New Roman" w:hAnsi="Times New Roman" w:eastAsia="方正仿宋_GBK" w:cs="Times New Roman"/>
          <w:color w:val="auto"/>
          <w:sz w:val="32"/>
          <w:szCs w:val="32"/>
          <w:highlight w:val="none"/>
        </w:rPr>
        <w:t>通过门户网站、短信、用电检查员告知等形式向签约用户</w:t>
      </w:r>
      <w:r>
        <w:rPr>
          <w:rFonts w:hint="default" w:ascii="Times New Roman" w:hAnsi="Times New Roman" w:eastAsia="方正仿宋_GBK" w:cs="Times New Roman"/>
          <w:color w:val="auto"/>
          <w:sz w:val="32"/>
          <w:szCs w:val="32"/>
          <w:highlight w:val="none"/>
          <w:lang w:val="en-US" w:eastAsia="zh-CN"/>
        </w:rPr>
        <w:t>完成提前通知</w:t>
      </w:r>
      <w:r>
        <w:rPr>
          <w:rFonts w:hint="default" w:ascii="Times New Roman" w:hAnsi="Times New Roman" w:eastAsia="方正仿宋_GBK" w:cs="Times New Roman"/>
          <w:color w:val="auto"/>
          <w:sz w:val="32"/>
          <w:szCs w:val="32"/>
          <w:highlight w:val="none"/>
        </w:rPr>
        <w:t>，并明确反馈截止时间。</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w:t>
      </w:r>
      <w:r>
        <w:rPr>
          <w:rFonts w:hint="eastAsia" w:ascii="Times New Roman" w:hAnsi="Times New Roman"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eastAsia="zh-CN"/>
        </w:rPr>
        <w:t>负荷聚合商</w:t>
      </w:r>
      <w:r>
        <w:rPr>
          <w:rFonts w:hint="default" w:ascii="Times New Roman" w:hAnsi="Times New Roman" w:eastAsia="方正仿宋_GBK" w:cs="Times New Roman"/>
          <w:color w:val="auto"/>
          <w:sz w:val="32"/>
          <w:szCs w:val="32"/>
          <w:highlight w:val="none"/>
        </w:rPr>
        <w:t>在截止时间前反馈是否参与，签约用户在截止时间前反馈是否参与后，由市电力负荷管理中心统计响应负荷量。市电力负荷管理中心计算响应是否满足指标要求。如果响应量满足指标要求，市电力负荷管理中心将响应清单报送省电力负荷管理中心</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批准后进行公布。</w:t>
      </w:r>
      <w:r>
        <w:rPr>
          <w:rFonts w:hint="default" w:ascii="Times New Roman" w:hAnsi="Times New Roman" w:eastAsia="方正仿宋_GBK" w:cs="Times New Roman"/>
          <w:color w:val="auto"/>
          <w:sz w:val="32"/>
          <w:szCs w:val="32"/>
          <w:highlight w:val="none"/>
        </w:rPr>
        <w:t xml:space="preserve"> </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w:t>
      </w:r>
      <w:r>
        <w:rPr>
          <w:rFonts w:hint="eastAsia" w:ascii="Times New Roman" w:hAnsi="Times New Roman" w:eastAsia="方正仿宋_GBK" w:cs="Times New Roman"/>
          <w:color w:val="auto"/>
          <w:sz w:val="32"/>
          <w:szCs w:val="32"/>
          <w:highlight w:val="none"/>
          <w:lang w:val="en-US" w:eastAsia="zh-CN"/>
        </w:rPr>
        <w:t>4</w:t>
      </w:r>
      <w:r>
        <w:rPr>
          <w:rFonts w:hint="default" w:ascii="Times New Roman" w:hAnsi="Times New Roman" w:eastAsia="方正仿宋_GBK" w:cs="Times New Roman"/>
          <w:color w:val="auto"/>
          <w:sz w:val="32"/>
          <w:szCs w:val="32"/>
          <w:highlight w:val="none"/>
        </w:rPr>
        <w:t>）在约定响应时段，</w:t>
      </w:r>
      <w:r>
        <w:rPr>
          <w:rFonts w:hint="default" w:ascii="Times New Roman" w:hAnsi="Times New Roman" w:eastAsia="方正仿宋_GBK" w:cs="Times New Roman"/>
          <w:color w:val="auto"/>
          <w:sz w:val="32"/>
          <w:szCs w:val="32"/>
          <w:highlight w:val="none"/>
          <w:lang w:eastAsia="zh-CN"/>
        </w:rPr>
        <w:t>负荷聚合商</w:t>
      </w:r>
      <w:r>
        <w:rPr>
          <w:rFonts w:hint="default" w:ascii="Times New Roman" w:hAnsi="Times New Roman" w:eastAsia="方正仿宋_GBK" w:cs="Times New Roman"/>
          <w:color w:val="auto"/>
          <w:sz w:val="32"/>
          <w:szCs w:val="32"/>
          <w:highlight w:val="none"/>
        </w:rPr>
        <w:t>执行响应，参与用户执行响应。市电力负荷管理中心实时监测响应情况。市电力负荷管理中心判断是否按</w:t>
      </w:r>
      <w:r>
        <w:rPr>
          <w:rFonts w:hint="default" w:ascii="Times New Roman" w:hAnsi="Times New Roman" w:eastAsia="方正仿宋_GBK" w:cs="Times New Roman"/>
          <w:color w:val="auto"/>
          <w:sz w:val="32"/>
          <w:szCs w:val="32"/>
          <w:highlight w:val="none"/>
          <w:lang w:val="en-US" w:eastAsia="zh-CN"/>
        </w:rPr>
        <w:t>预测电力缺口情况</w:t>
      </w:r>
      <w:r>
        <w:rPr>
          <w:rFonts w:hint="default" w:ascii="Times New Roman" w:hAnsi="Times New Roman" w:eastAsia="方正仿宋_GBK" w:cs="Times New Roman"/>
          <w:color w:val="auto"/>
          <w:sz w:val="32"/>
          <w:szCs w:val="32"/>
          <w:highlight w:val="none"/>
        </w:rPr>
        <w:t>执行响应。市电力负荷管理中心上报实际响应用户清单。</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w:t>
      </w:r>
      <w:r>
        <w:rPr>
          <w:rFonts w:hint="eastAsia" w:ascii="Times New Roman" w:hAnsi="Times New Roman" w:eastAsia="方正仿宋_GBK" w:cs="Times New Roman"/>
          <w:color w:val="auto"/>
          <w:sz w:val="32"/>
          <w:szCs w:val="32"/>
          <w:highlight w:val="none"/>
          <w:lang w:val="en-US" w:eastAsia="zh-CN"/>
        </w:rPr>
        <w:t>5</w:t>
      </w:r>
      <w:r>
        <w:rPr>
          <w:rFonts w:hint="default" w:ascii="Times New Roman" w:hAnsi="Times New Roman" w:eastAsia="方正仿宋_GBK" w:cs="Times New Roman"/>
          <w:color w:val="auto"/>
          <w:sz w:val="32"/>
          <w:szCs w:val="32"/>
          <w:highlight w:val="none"/>
        </w:rPr>
        <w:t>）如果在截止时间内市</w:t>
      </w:r>
      <w:r>
        <w:rPr>
          <w:rFonts w:hint="default" w:ascii="Times New Roman" w:hAnsi="Times New Roman" w:eastAsia="方正仿宋_GBK" w:cs="Times New Roman"/>
          <w:color w:val="auto"/>
          <w:sz w:val="32"/>
          <w:szCs w:val="32"/>
          <w:highlight w:val="none"/>
          <w:lang w:val="en-US" w:eastAsia="zh-CN"/>
        </w:rPr>
        <w:t>电力负荷管理中心</w:t>
      </w:r>
      <w:r>
        <w:rPr>
          <w:rFonts w:hint="default" w:ascii="Times New Roman" w:hAnsi="Times New Roman" w:eastAsia="方正仿宋_GBK" w:cs="Times New Roman"/>
          <w:color w:val="auto"/>
          <w:sz w:val="32"/>
          <w:szCs w:val="32"/>
          <w:highlight w:val="none"/>
        </w:rPr>
        <w:t>在预定时段内未征集到足够响应量，</w:t>
      </w:r>
      <w:r>
        <w:rPr>
          <w:rFonts w:hint="default" w:ascii="Times New Roman" w:hAnsi="Times New Roman" w:eastAsia="方正仿宋_GBK" w:cs="Times New Roman"/>
          <w:color w:val="auto"/>
          <w:sz w:val="32"/>
          <w:szCs w:val="32"/>
          <w:highlight w:val="none"/>
          <w:lang w:val="en-US" w:eastAsia="zh-CN"/>
        </w:rPr>
        <w:t>及时汇报市发改委、市供电公司，扩大通知范围，确保容量覆盖预测电力缺口</w:t>
      </w:r>
      <w:r>
        <w:rPr>
          <w:rFonts w:hint="default" w:ascii="Times New Roman" w:hAnsi="Times New Roman" w:eastAsia="方正仿宋_GBK" w:cs="Times New Roman"/>
          <w:color w:val="auto"/>
          <w:sz w:val="32"/>
          <w:szCs w:val="32"/>
          <w:highlight w:val="none"/>
        </w:rPr>
        <w:t>。</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w:t>
      </w:r>
      <w:r>
        <w:rPr>
          <w:rFonts w:hint="eastAsia" w:ascii="Times New Roman" w:hAnsi="Times New Roman" w:eastAsia="方正仿宋_GBK" w:cs="Times New Roman"/>
          <w:color w:val="auto"/>
          <w:sz w:val="32"/>
          <w:szCs w:val="32"/>
          <w:highlight w:val="none"/>
          <w:lang w:val="en-US" w:eastAsia="zh-CN"/>
        </w:rPr>
        <w:t>6</w:t>
      </w:r>
      <w:r>
        <w:rPr>
          <w:rFonts w:hint="default" w:ascii="Times New Roman" w:hAnsi="Times New Roman" w:eastAsia="方正仿宋_GBK" w:cs="Times New Roman"/>
          <w:color w:val="auto"/>
          <w:sz w:val="32"/>
          <w:szCs w:val="32"/>
          <w:highlight w:val="none"/>
        </w:rPr>
        <w:t>）在执行约定需求响应过程中，</w:t>
      </w:r>
      <w:r>
        <w:rPr>
          <w:rFonts w:hint="default" w:ascii="Times New Roman" w:hAnsi="Times New Roman" w:eastAsia="方正仿宋_GBK" w:cs="Times New Roman"/>
          <w:color w:val="auto"/>
          <w:sz w:val="32"/>
          <w:szCs w:val="32"/>
          <w:highlight w:val="none"/>
          <w:lang w:val="en-US" w:eastAsia="zh-CN"/>
        </w:rPr>
        <w:t>市</w:t>
      </w:r>
      <w:r>
        <w:rPr>
          <w:rFonts w:hint="default" w:ascii="Times New Roman" w:hAnsi="Times New Roman" w:eastAsia="方正仿宋_GBK" w:cs="Times New Roman"/>
          <w:color w:val="auto"/>
          <w:sz w:val="32"/>
          <w:szCs w:val="32"/>
          <w:highlight w:val="none"/>
        </w:rPr>
        <w:t>电力负荷管理中心对未按要求响应的</w:t>
      </w:r>
      <w:r>
        <w:rPr>
          <w:rFonts w:hint="default" w:ascii="Times New Roman" w:hAnsi="Times New Roman" w:eastAsia="方正仿宋_GBK" w:cs="Times New Roman"/>
          <w:color w:val="auto"/>
          <w:sz w:val="32"/>
          <w:szCs w:val="32"/>
          <w:highlight w:val="none"/>
          <w:lang w:val="en-US" w:eastAsia="zh-CN"/>
        </w:rPr>
        <w:t>区县</w:t>
      </w:r>
      <w:r>
        <w:rPr>
          <w:rFonts w:hint="default" w:ascii="Times New Roman" w:hAnsi="Times New Roman" w:eastAsia="方正仿宋_GBK" w:cs="Times New Roman"/>
          <w:color w:val="auto"/>
          <w:sz w:val="32"/>
          <w:szCs w:val="32"/>
          <w:highlight w:val="none"/>
        </w:rPr>
        <w:t>追加</w:t>
      </w:r>
      <w:r>
        <w:rPr>
          <w:rFonts w:hint="default" w:ascii="Times New Roman" w:hAnsi="Times New Roman" w:eastAsia="方正仿宋_GBK" w:cs="Times New Roman"/>
          <w:color w:val="auto"/>
          <w:sz w:val="32"/>
          <w:szCs w:val="32"/>
          <w:highlight w:val="none"/>
          <w:lang w:val="en-US" w:eastAsia="zh-CN"/>
        </w:rPr>
        <w:t>响应</w:t>
      </w:r>
      <w:r>
        <w:rPr>
          <w:rFonts w:hint="default" w:ascii="Times New Roman" w:hAnsi="Times New Roman" w:eastAsia="方正仿宋_GBK" w:cs="Times New Roman"/>
          <w:color w:val="auto"/>
          <w:sz w:val="32"/>
          <w:szCs w:val="32"/>
          <w:highlight w:val="none"/>
        </w:rPr>
        <w:t>指标。</w:t>
      </w:r>
    </w:p>
    <w:p>
      <w:pPr>
        <w:ind w:firstLine="640"/>
        <w:rPr>
          <w:rFonts w:hint="default" w:ascii="Times New Roman" w:hAnsi="Times New Roman" w:cs="Times New Roman"/>
          <w:color w:val="auto"/>
          <w:highlight w:val="none"/>
          <w:lang w:val="en-US"/>
        </w:rPr>
      </w:pPr>
      <w:r>
        <w:rPr>
          <w:rFonts w:hint="default" w:ascii="Times New Roman" w:hAnsi="Times New Roman" w:eastAsia="方正仿宋_GBK" w:cs="Times New Roman"/>
          <w:color w:val="auto"/>
          <w:sz w:val="32"/>
          <w:szCs w:val="32"/>
          <w:highlight w:val="none"/>
        </w:rPr>
        <w:t>（</w:t>
      </w:r>
      <w:r>
        <w:rPr>
          <w:rFonts w:hint="eastAsia" w:ascii="Times New Roman" w:hAnsi="Times New Roman" w:eastAsia="方正仿宋_GBK" w:cs="Times New Roman"/>
          <w:color w:val="auto"/>
          <w:sz w:val="32"/>
          <w:szCs w:val="32"/>
          <w:highlight w:val="none"/>
          <w:lang w:val="en-US" w:eastAsia="zh-CN"/>
        </w:rPr>
        <w:t>7</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市供电公司根据</w:t>
      </w:r>
      <w:r>
        <w:rPr>
          <w:rFonts w:hint="default" w:ascii="Times New Roman" w:hAnsi="Times New Roman" w:eastAsia="方正仿宋_GBK" w:cs="Times New Roman"/>
          <w:color w:val="auto"/>
          <w:sz w:val="32"/>
          <w:szCs w:val="32"/>
          <w:highlight w:val="none"/>
        </w:rPr>
        <w:t>省电力公司营销部</w:t>
      </w:r>
      <w:r>
        <w:rPr>
          <w:rFonts w:hint="default" w:ascii="Times New Roman" w:hAnsi="Times New Roman" w:eastAsia="方正仿宋_GBK" w:cs="Times New Roman"/>
          <w:color w:val="auto"/>
          <w:sz w:val="32"/>
          <w:szCs w:val="32"/>
          <w:highlight w:val="none"/>
          <w:lang w:val="en-US" w:eastAsia="zh-CN"/>
        </w:rPr>
        <w:t>统一要求，</w:t>
      </w:r>
      <w:r>
        <w:rPr>
          <w:rFonts w:hint="default" w:ascii="Times New Roman" w:hAnsi="Times New Roman" w:eastAsia="方正仿宋_GBK" w:cs="Times New Roman"/>
          <w:color w:val="auto"/>
          <w:sz w:val="32"/>
          <w:szCs w:val="32"/>
          <w:highlight w:val="none"/>
        </w:rPr>
        <w:t>统计需求响应情况</w:t>
      </w:r>
      <w:r>
        <w:rPr>
          <w:rFonts w:hint="default" w:ascii="Times New Roman" w:hAnsi="Times New Roman" w:eastAsia="方正仿宋_GBK" w:cs="Times New Roman"/>
          <w:color w:val="auto"/>
          <w:sz w:val="32"/>
          <w:szCs w:val="32"/>
          <w:highlight w:val="none"/>
          <w:lang w:val="en-US" w:eastAsia="zh-CN"/>
        </w:rPr>
        <w:t>并报市发改委审批</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确认无误后报</w:t>
      </w:r>
      <w:r>
        <w:rPr>
          <w:rFonts w:hint="eastAsia" w:ascii="Times New Roman" w:hAnsi="Times New Roman" w:eastAsia="方正仿宋_GBK" w:cs="Times New Roman"/>
          <w:color w:val="auto"/>
          <w:sz w:val="32"/>
          <w:szCs w:val="32"/>
          <w:highlight w:val="none"/>
          <w:lang w:val="en-US" w:eastAsia="zh-CN"/>
        </w:rPr>
        <w:t>省</w:t>
      </w:r>
      <w:r>
        <w:rPr>
          <w:rFonts w:hint="default" w:ascii="Times New Roman" w:hAnsi="Times New Roman" w:eastAsia="方正仿宋_GBK" w:cs="Times New Roman"/>
          <w:color w:val="auto"/>
          <w:sz w:val="32"/>
          <w:szCs w:val="32"/>
          <w:highlight w:val="none"/>
        </w:rPr>
        <w:t>电力公司营销部</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市、县发改部门以及供电部门根据省需求响应平台公示结果，促请属地政府发放地方补贴。</w:t>
      </w:r>
    </w:p>
    <w:p>
      <w:pPr>
        <w:ind w:firstLine="640"/>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2.</w:t>
      </w:r>
      <w:r>
        <w:rPr>
          <w:rFonts w:hint="eastAsia" w:ascii="Times New Roman" w:hAnsi="Times New Roman" w:eastAsia="方正仿宋_GBK" w:cs="Times New Roman"/>
          <w:b/>
          <w:bCs/>
          <w:color w:val="auto"/>
          <w:sz w:val="32"/>
          <w:szCs w:val="32"/>
          <w:highlight w:val="none"/>
          <w:lang w:val="en-US" w:eastAsia="zh-CN"/>
        </w:rPr>
        <w:t>有序用电（负荷控制）</w:t>
      </w:r>
      <w:r>
        <w:rPr>
          <w:rFonts w:hint="default" w:ascii="Times New Roman" w:hAnsi="Times New Roman" w:eastAsia="方正仿宋_GBK" w:cs="Times New Roman"/>
          <w:b/>
          <w:bCs/>
          <w:color w:val="auto"/>
          <w:sz w:val="32"/>
          <w:szCs w:val="32"/>
          <w:highlight w:val="none"/>
        </w:rPr>
        <w:t>操作流程</w:t>
      </w:r>
    </w:p>
    <w:p>
      <w:pPr>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val="en-US" w:eastAsia="zh-CN"/>
        </w:rPr>
        <w:t>市</w:t>
      </w:r>
      <w:r>
        <w:rPr>
          <w:rFonts w:hint="default" w:ascii="Times New Roman" w:hAnsi="Times New Roman" w:eastAsia="方正仿宋_GBK" w:cs="Times New Roman"/>
          <w:color w:val="auto"/>
          <w:sz w:val="32"/>
          <w:szCs w:val="32"/>
          <w:highlight w:val="none"/>
        </w:rPr>
        <w:t>负荷管理中心接到</w:t>
      </w:r>
      <w:r>
        <w:rPr>
          <w:rFonts w:hint="default" w:ascii="Times New Roman" w:hAnsi="Times New Roman" w:eastAsia="方正仿宋_GBK" w:cs="Times New Roman"/>
          <w:color w:val="auto"/>
          <w:sz w:val="32"/>
          <w:szCs w:val="32"/>
          <w:highlight w:val="none"/>
          <w:lang w:val="en-US" w:eastAsia="zh-CN"/>
        </w:rPr>
        <w:t>省侧</w:t>
      </w:r>
      <w:r>
        <w:rPr>
          <w:rFonts w:hint="eastAsia" w:ascii="Times New Roman" w:hAnsi="Times New Roman" w:eastAsia="方正仿宋_GBK" w:cs="Times New Roman"/>
          <w:color w:val="auto"/>
          <w:sz w:val="32"/>
          <w:szCs w:val="32"/>
          <w:highlight w:val="none"/>
          <w:lang w:val="en-US" w:eastAsia="zh-CN"/>
        </w:rPr>
        <w:t>有序用电（负荷控制）</w:t>
      </w:r>
      <w:r>
        <w:rPr>
          <w:rFonts w:hint="default" w:ascii="Times New Roman" w:hAnsi="Times New Roman" w:eastAsia="方正仿宋_GBK" w:cs="Times New Roman"/>
          <w:color w:val="auto"/>
          <w:sz w:val="32"/>
          <w:szCs w:val="32"/>
          <w:highlight w:val="none"/>
        </w:rPr>
        <w:t>指令后，及时向</w:t>
      </w:r>
      <w:r>
        <w:rPr>
          <w:rFonts w:hint="default" w:ascii="Times New Roman" w:hAnsi="Times New Roman" w:eastAsia="方正仿宋_GBK" w:cs="Times New Roman"/>
          <w:color w:val="auto"/>
          <w:sz w:val="32"/>
          <w:szCs w:val="32"/>
          <w:highlight w:val="none"/>
          <w:lang w:val="en-US" w:eastAsia="zh-CN"/>
        </w:rPr>
        <w:t>市</w:t>
      </w:r>
      <w:r>
        <w:rPr>
          <w:rFonts w:hint="default" w:ascii="Times New Roman" w:hAnsi="Times New Roman" w:eastAsia="方正仿宋_GBK" w:cs="Times New Roman"/>
          <w:color w:val="auto"/>
          <w:sz w:val="32"/>
          <w:szCs w:val="32"/>
          <w:highlight w:val="none"/>
        </w:rPr>
        <w:t>发改委及</w:t>
      </w:r>
      <w:r>
        <w:rPr>
          <w:rFonts w:hint="default" w:ascii="Times New Roman" w:hAnsi="Times New Roman" w:eastAsia="方正仿宋_GBK" w:cs="Times New Roman"/>
          <w:color w:val="auto"/>
          <w:sz w:val="32"/>
          <w:szCs w:val="32"/>
          <w:highlight w:val="none"/>
          <w:lang w:val="en-US" w:eastAsia="zh-CN"/>
        </w:rPr>
        <w:t>供电公司</w:t>
      </w:r>
      <w:r>
        <w:rPr>
          <w:rFonts w:hint="default" w:ascii="Times New Roman" w:hAnsi="Times New Roman" w:eastAsia="方正仿宋_GBK" w:cs="Times New Roman"/>
          <w:color w:val="auto"/>
          <w:sz w:val="32"/>
          <w:szCs w:val="32"/>
          <w:highlight w:val="none"/>
        </w:rPr>
        <w:t>营销部汇报，经批准同意后，根据</w:t>
      </w:r>
      <w:r>
        <w:rPr>
          <w:rFonts w:hint="default" w:ascii="Times New Roman" w:hAnsi="Times New Roman" w:eastAsia="方正仿宋_GBK" w:cs="Times New Roman"/>
          <w:color w:val="auto"/>
          <w:sz w:val="32"/>
          <w:szCs w:val="32"/>
          <w:highlight w:val="none"/>
          <w:lang w:eastAsia="zh-CN"/>
        </w:rPr>
        <w:t>电力缺口</w:t>
      </w:r>
      <w:r>
        <w:rPr>
          <w:rFonts w:hint="default" w:ascii="Times New Roman" w:hAnsi="Times New Roman" w:eastAsia="方正仿宋_GBK" w:cs="Times New Roman"/>
          <w:color w:val="auto"/>
          <w:sz w:val="32"/>
          <w:szCs w:val="32"/>
          <w:highlight w:val="none"/>
        </w:rPr>
        <w:t>大小选择</w:t>
      </w:r>
      <w:r>
        <w:rPr>
          <w:rFonts w:hint="default" w:ascii="Times New Roman" w:hAnsi="Times New Roman" w:eastAsia="方正仿宋_GBK" w:cs="Times New Roman"/>
          <w:color w:val="auto"/>
          <w:sz w:val="32"/>
          <w:szCs w:val="32"/>
          <w:highlight w:val="none"/>
          <w:lang w:val="en-US" w:eastAsia="zh-CN"/>
        </w:rPr>
        <w:t>执行策略</w:t>
      </w:r>
      <w:r>
        <w:rPr>
          <w:rFonts w:hint="default" w:ascii="Times New Roman" w:hAnsi="Times New Roman" w:eastAsia="方正仿宋_GBK" w:cs="Times New Roman"/>
          <w:color w:val="auto"/>
          <w:sz w:val="32"/>
          <w:szCs w:val="32"/>
          <w:highlight w:val="none"/>
        </w:rPr>
        <w:t>，通过电话、手机短信等方式通知企业联系人，同时向企业终端发送错峰通知</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被控企业负荷管理终端功控投入，若在规定时间内，企业未压限负荷到限定值，</w:t>
      </w:r>
      <w:r>
        <w:rPr>
          <w:rFonts w:hint="default" w:ascii="Times New Roman" w:hAnsi="Times New Roman" w:eastAsia="方正仿宋_GBK" w:cs="Times New Roman"/>
          <w:color w:val="auto"/>
          <w:spacing w:val="-6"/>
          <w:sz w:val="32"/>
          <w:szCs w:val="32"/>
          <w:highlight w:val="none"/>
        </w:rPr>
        <w:t>则终端跳闸，控制企业负荷；负荷管理中心实时监测企业负荷。</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490" w:lineRule="exact"/>
        <w:ind w:left="638" w:leftChars="228" w:firstLine="0" w:firstLineChars="0"/>
        <w:jc w:val="both"/>
        <w:textAlignment w:val="auto"/>
        <w:rPr>
          <w:rFonts w:hint="default" w:ascii="Times New Roman" w:hAnsi="Times New Roman" w:eastAsia="方正仿宋_GBK" w:cs="Times New Roman"/>
          <w:color w:val="auto"/>
          <w:sz w:val="32"/>
          <w:highlight w:val="none"/>
        </w:rPr>
      </w:pPr>
      <w:r>
        <w:rPr>
          <w:rFonts w:hint="eastAsia" w:ascii="Times New Roman" w:hAnsi="Times New Roman" w:eastAsia="方正仿宋_GBK" w:cs="Times New Roman"/>
          <w:b/>
          <w:bCs/>
          <w:color w:val="auto"/>
          <w:sz w:val="32"/>
          <w:szCs w:val="32"/>
          <w:highlight w:val="none"/>
          <w:lang w:val="en-US" w:eastAsia="zh-CN"/>
        </w:rPr>
        <w:t>有序用电（负荷控制）</w:t>
      </w:r>
      <w:r>
        <w:rPr>
          <w:rFonts w:hint="default" w:ascii="Times New Roman" w:hAnsi="Times New Roman" w:eastAsia="方正仿宋_GBK" w:cs="Times New Roman"/>
          <w:color w:val="auto"/>
          <w:sz w:val="32"/>
          <w:highlight w:val="none"/>
        </w:rPr>
        <w:t>流程说明：</w:t>
      </w:r>
    </w:p>
    <w:p>
      <w:pPr>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（1）省调对全省发用电平衡进行分析预测，及时预测电力缺口；</w:t>
      </w:r>
    </w:p>
    <w:p>
      <w:pPr>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省调提前</w:t>
      </w:r>
      <w:r>
        <w:rPr>
          <w:rFonts w:hint="default" w:ascii="Times New Roman" w:hAnsi="Times New Roman" w:eastAsia="方正仿宋_GBK" w:cs="Times New Roman"/>
          <w:color w:val="auto"/>
          <w:sz w:val="32"/>
          <w:szCs w:val="32"/>
          <w:highlight w:val="none"/>
          <w:lang w:val="en-US" w:eastAsia="zh-CN"/>
        </w:rPr>
        <w:t>向省发改委行文汇报电力缺口预警情况</w:t>
      </w:r>
      <w:r>
        <w:rPr>
          <w:rFonts w:hint="default" w:ascii="Times New Roman" w:hAnsi="Times New Roman" w:eastAsia="方正仿宋_GBK" w:cs="Times New Roman"/>
          <w:color w:val="auto"/>
          <w:sz w:val="32"/>
          <w:szCs w:val="32"/>
          <w:highlight w:val="none"/>
        </w:rPr>
        <w:t>；</w:t>
      </w:r>
    </w:p>
    <w:p>
      <w:pPr>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（3）</w:t>
      </w:r>
      <w:r>
        <w:rPr>
          <w:rFonts w:hint="default" w:ascii="Times New Roman" w:hAnsi="Times New Roman" w:eastAsia="方正仿宋_GBK" w:cs="Times New Roman"/>
          <w:color w:val="auto"/>
          <w:sz w:val="32"/>
          <w:szCs w:val="32"/>
          <w:highlight w:val="none"/>
          <w:lang w:val="en-US" w:eastAsia="zh-CN"/>
        </w:rPr>
        <w:t>省电力保供专班与省电力公司共同会商应对电力缺口措施，明确采取</w:t>
      </w:r>
      <w:r>
        <w:rPr>
          <w:rFonts w:hint="eastAsia" w:ascii="Times New Roman" w:hAnsi="Times New Roman" w:eastAsia="方正仿宋_GBK" w:cs="Times New Roman"/>
          <w:color w:val="auto"/>
          <w:sz w:val="32"/>
          <w:szCs w:val="32"/>
          <w:highlight w:val="none"/>
          <w:lang w:val="en-US" w:eastAsia="zh-CN"/>
        </w:rPr>
        <w:t>有序用电（负荷控制）</w:t>
      </w:r>
      <w:r>
        <w:rPr>
          <w:rFonts w:hint="default" w:ascii="Times New Roman" w:hAnsi="Times New Roman" w:eastAsia="方正仿宋_GBK" w:cs="Times New Roman"/>
          <w:color w:val="auto"/>
          <w:sz w:val="32"/>
          <w:szCs w:val="32"/>
          <w:highlight w:val="none"/>
        </w:rPr>
        <w:t>；</w:t>
      </w:r>
    </w:p>
    <w:p>
      <w:pPr>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（4）</w:t>
      </w:r>
      <w:r>
        <w:rPr>
          <w:rFonts w:hint="default" w:ascii="Times New Roman" w:hAnsi="Times New Roman" w:eastAsia="方正仿宋_GBK" w:cs="Times New Roman"/>
          <w:color w:val="auto"/>
          <w:sz w:val="32"/>
          <w:szCs w:val="32"/>
          <w:highlight w:val="none"/>
          <w:lang w:val="en-US" w:eastAsia="zh-CN"/>
        </w:rPr>
        <w:t>省调控中心会保供专班明确各地保供曲线并下达</w:t>
      </w:r>
      <w:r>
        <w:rPr>
          <w:rFonts w:hint="default" w:ascii="Times New Roman" w:hAnsi="Times New Roman" w:eastAsia="方正仿宋_GBK" w:cs="Times New Roman"/>
          <w:color w:val="auto"/>
          <w:sz w:val="32"/>
          <w:szCs w:val="32"/>
          <w:highlight w:val="none"/>
        </w:rPr>
        <w:t>；</w:t>
      </w:r>
    </w:p>
    <w:p>
      <w:pPr>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rPr>
        <w:t>（5）</w:t>
      </w:r>
      <w:r>
        <w:rPr>
          <w:rFonts w:hint="default" w:ascii="Times New Roman" w:hAnsi="Times New Roman" w:eastAsia="方正仿宋_GBK" w:cs="Times New Roman"/>
          <w:color w:val="auto"/>
          <w:sz w:val="32"/>
          <w:szCs w:val="32"/>
          <w:highlight w:val="none"/>
          <w:lang w:val="en-US" w:eastAsia="zh-CN"/>
        </w:rPr>
        <w:t>市发改委会同市供电公司调度、营销部（负荷管理中心），根据保供曲线预测存在的电力缺口。按照相关原则分解保供曲线至各县区，并组织各县区次日负荷管理执行方案。</w:t>
      </w:r>
    </w:p>
    <w:p>
      <w:pPr>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w:t>
      </w:r>
      <w:r>
        <w:rPr>
          <w:rFonts w:hint="eastAsia" w:ascii="Times New Roman" w:hAnsi="Times New Roman" w:eastAsia="方正仿宋_GBK" w:cs="Times New Roman"/>
          <w:color w:val="auto"/>
          <w:sz w:val="32"/>
          <w:szCs w:val="32"/>
          <w:highlight w:val="none"/>
          <w:lang w:val="en-US" w:eastAsia="zh-CN"/>
        </w:rPr>
        <w:t>6</w:t>
      </w:r>
      <w:r>
        <w:rPr>
          <w:rFonts w:hint="default" w:ascii="Times New Roman" w:hAnsi="Times New Roman" w:eastAsia="方正仿宋_GBK" w:cs="Times New Roman"/>
          <w:color w:val="auto"/>
          <w:sz w:val="32"/>
          <w:szCs w:val="32"/>
          <w:highlight w:val="none"/>
        </w:rPr>
        <w:t>）市供电公司</w:t>
      </w:r>
      <w:r>
        <w:rPr>
          <w:rFonts w:hint="default" w:ascii="Times New Roman" w:hAnsi="Times New Roman" w:eastAsia="方正仿宋_GBK" w:cs="Times New Roman"/>
          <w:color w:val="auto"/>
          <w:sz w:val="32"/>
          <w:szCs w:val="32"/>
          <w:highlight w:val="none"/>
          <w:lang w:eastAsia="zh-CN"/>
        </w:rPr>
        <w:t>营销服务中心</w:t>
      </w:r>
      <w:r>
        <w:rPr>
          <w:rFonts w:hint="default" w:ascii="Times New Roman" w:hAnsi="Times New Roman" w:eastAsia="方正仿宋_GBK" w:cs="Times New Roman"/>
          <w:color w:val="auto"/>
          <w:sz w:val="32"/>
          <w:szCs w:val="32"/>
          <w:highlight w:val="none"/>
        </w:rPr>
        <w:t>、三县公司营销部、增量配电网公司根据</w:t>
      </w:r>
      <w:r>
        <w:rPr>
          <w:rFonts w:hint="default" w:ascii="Times New Roman" w:hAnsi="Times New Roman" w:eastAsia="方正仿宋_GBK" w:cs="Times New Roman"/>
          <w:color w:val="auto"/>
          <w:sz w:val="32"/>
          <w:szCs w:val="32"/>
          <w:highlight w:val="none"/>
          <w:lang w:val="en-US" w:eastAsia="zh-CN"/>
        </w:rPr>
        <w:t>制定的执行方案做好用户提前通知</w:t>
      </w:r>
      <w:r>
        <w:rPr>
          <w:rFonts w:hint="default" w:ascii="Times New Roman" w:hAnsi="Times New Roman" w:eastAsia="方正仿宋_GBK" w:cs="Times New Roman"/>
          <w:color w:val="auto"/>
          <w:sz w:val="32"/>
          <w:szCs w:val="32"/>
          <w:highlight w:val="none"/>
        </w:rPr>
        <w:t>；</w:t>
      </w:r>
    </w:p>
    <w:p>
      <w:pPr>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w:t>
      </w:r>
      <w:r>
        <w:rPr>
          <w:rFonts w:hint="eastAsia" w:ascii="Times New Roman" w:hAnsi="Times New Roman" w:eastAsia="方正仿宋_GBK" w:cs="Times New Roman"/>
          <w:color w:val="auto"/>
          <w:sz w:val="32"/>
          <w:szCs w:val="32"/>
          <w:highlight w:val="none"/>
          <w:lang w:val="en-US" w:eastAsia="zh-CN"/>
        </w:rPr>
        <w:t>7</w:t>
      </w:r>
      <w:r>
        <w:rPr>
          <w:rFonts w:hint="default" w:ascii="Times New Roman" w:hAnsi="Times New Roman" w:eastAsia="方正仿宋_GBK" w:cs="Times New Roman"/>
          <w:color w:val="auto"/>
          <w:sz w:val="32"/>
          <w:szCs w:val="32"/>
          <w:highlight w:val="none"/>
        </w:rPr>
        <w:t>）市供电公司</w:t>
      </w:r>
      <w:r>
        <w:rPr>
          <w:rFonts w:hint="default" w:ascii="Times New Roman" w:hAnsi="Times New Roman" w:eastAsia="方正仿宋_GBK" w:cs="Times New Roman"/>
          <w:color w:val="auto"/>
          <w:sz w:val="32"/>
          <w:szCs w:val="32"/>
          <w:highlight w:val="none"/>
          <w:lang w:eastAsia="zh-CN"/>
        </w:rPr>
        <w:t>营销服务中心</w:t>
      </w:r>
      <w:r>
        <w:rPr>
          <w:rFonts w:hint="default" w:ascii="Times New Roman" w:hAnsi="Times New Roman" w:eastAsia="方正仿宋_GBK" w:cs="Times New Roman"/>
          <w:color w:val="auto"/>
          <w:sz w:val="32"/>
          <w:szCs w:val="32"/>
          <w:highlight w:val="none"/>
        </w:rPr>
        <w:t>、三县公司营销部、增量配电网公司采集运行班立即通过手机短信、新型数字化电力供需互动管理平台、终端短信，终端喊话等方式发布指令；</w:t>
      </w:r>
      <w:r>
        <w:rPr>
          <w:rFonts w:hint="default" w:ascii="Times New Roman" w:hAnsi="Times New Roman" w:eastAsia="方正仿宋_GBK" w:cs="Times New Roman"/>
          <w:color w:val="auto"/>
          <w:spacing w:val="-11"/>
          <w:sz w:val="32"/>
          <w:szCs w:val="32"/>
          <w:highlight w:val="none"/>
        </w:rPr>
        <w:t>督察人员立即到执行方案涉及的用户现场督促、指导用户错峰；</w:t>
      </w:r>
    </w:p>
    <w:p>
      <w:pPr>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w:t>
      </w:r>
      <w:r>
        <w:rPr>
          <w:rFonts w:hint="eastAsia" w:ascii="Times New Roman" w:hAnsi="Times New Roman" w:eastAsia="方正仿宋_GBK" w:cs="Times New Roman"/>
          <w:color w:val="auto"/>
          <w:sz w:val="32"/>
          <w:szCs w:val="32"/>
          <w:highlight w:val="none"/>
          <w:lang w:val="en-US" w:eastAsia="zh-CN"/>
        </w:rPr>
        <w:t>8</w:t>
      </w:r>
      <w:r>
        <w:rPr>
          <w:rFonts w:hint="default" w:ascii="Times New Roman" w:hAnsi="Times New Roman" w:eastAsia="方正仿宋_GBK" w:cs="Times New Roman"/>
          <w:color w:val="auto"/>
          <w:sz w:val="32"/>
          <w:szCs w:val="32"/>
          <w:highlight w:val="none"/>
        </w:rPr>
        <w:t>）用户在接到错峰指令后，按事先编制内部错峰方案及时落实到位；</w:t>
      </w:r>
    </w:p>
    <w:p>
      <w:pPr>
        <w:pageBreakBefore w:val="0"/>
        <w:widowControl w:val="0"/>
        <w:kinsoku/>
        <w:wordWrap/>
        <w:overflowPunct/>
        <w:topLinePunct w:val="0"/>
        <w:autoSpaceDE/>
        <w:autoSpaceDN/>
        <w:bidi w:val="0"/>
        <w:adjustRightInd/>
        <w:snapToGrid/>
        <w:spacing w:line="48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w:t>
      </w:r>
      <w:r>
        <w:rPr>
          <w:rFonts w:hint="eastAsia" w:ascii="Times New Roman" w:hAnsi="Times New Roman" w:eastAsia="方正仿宋_GBK" w:cs="Times New Roman"/>
          <w:color w:val="auto"/>
          <w:sz w:val="32"/>
          <w:szCs w:val="32"/>
          <w:highlight w:val="none"/>
          <w:lang w:val="en-US" w:eastAsia="zh-CN"/>
        </w:rPr>
        <w:t>9</w:t>
      </w:r>
      <w:r>
        <w:rPr>
          <w:rFonts w:hint="default" w:ascii="Times New Roman" w:hAnsi="Times New Roman" w:eastAsia="方正仿宋_GBK" w:cs="Times New Roman"/>
          <w:color w:val="auto"/>
          <w:sz w:val="32"/>
          <w:szCs w:val="32"/>
          <w:highlight w:val="none"/>
        </w:rPr>
        <w:t>）市供电公司</w:t>
      </w:r>
      <w:r>
        <w:rPr>
          <w:rFonts w:hint="default" w:ascii="Times New Roman" w:hAnsi="Times New Roman" w:eastAsia="方正仿宋_GBK" w:cs="Times New Roman"/>
          <w:color w:val="auto"/>
          <w:sz w:val="32"/>
          <w:szCs w:val="32"/>
          <w:highlight w:val="none"/>
          <w:lang w:eastAsia="zh-CN"/>
        </w:rPr>
        <w:t>营销服务中心</w:t>
      </w:r>
      <w:r>
        <w:rPr>
          <w:rFonts w:hint="default" w:ascii="Times New Roman" w:hAnsi="Times New Roman" w:eastAsia="方正仿宋_GBK" w:cs="Times New Roman"/>
          <w:color w:val="auto"/>
          <w:sz w:val="32"/>
          <w:szCs w:val="32"/>
          <w:highlight w:val="none"/>
        </w:rPr>
        <w:t>、三县公司营销部、增量配电网公司采集运行班密切监控错峰用户负荷情况，对未执行到位的及时通知督察人员现场督察；</w:t>
      </w:r>
    </w:p>
    <w:p>
      <w:pPr>
        <w:pageBreakBefore w:val="0"/>
        <w:widowControl w:val="0"/>
        <w:kinsoku/>
        <w:wordWrap/>
        <w:overflowPunct/>
        <w:topLinePunct w:val="0"/>
        <w:autoSpaceDE/>
        <w:autoSpaceDN/>
        <w:bidi w:val="0"/>
        <w:adjustRightInd/>
        <w:snapToGrid/>
        <w:spacing w:line="48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w:t>
      </w:r>
      <w:r>
        <w:rPr>
          <w:rFonts w:hint="eastAsia" w:ascii="Times New Roman" w:hAnsi="Times New Roman" w:eastAsia="方正仿宋_GBK" w:cs="Times New Roman"/>
          <w:color w:val="auto"/>
          <w:sz w:val="32"/>
          <w:szCs w:val="32"/>
          <w:highlight w:val="none"/>
          <w:lang w:val="en-US" w:eastAsia="zh-CN"/>
        </w:rPr>
        <w:t>0</w:t>
      </w:r>
      <w:r>
        <w:rPr>
          <w:rFonts w:hint="default" w:ascii="Times New Roman" w:hAnsi="Times New Roman" w:eastAsia="方正仿宋_GBK" w:cs="Times New Roman"/>
          <w:color w:val="auto"/>
          <w:sz w:val="32"/>
          <w:szCs w:val="32"/>
          <w:highlight w:val="none"/>
        </w:rPr>
        <w:t>）市电力负荷管理中心</w:t>
      </w:r>
      <w:r>
        <w:rPr>
          <w:rFonts w:hint="default" w:ascii="Times New Roman" w:hAnsi="Times New Roman" w:eastAsia="方正仿宋_GBK" w:cs="Times New Roman"/>
          <w:color w:val="auto"/>
          <w:sz w:val="32"/>
          <w:szCs w:val="32"/>
          <w:highlight w:val="none"/>
          <w:lang w:val="en-US" w:eastAsia="zh-CN"/>
        </w:rPr>
        <w:t>根据当日执行情况编制日报，</w:t>
      </w:r>
      <w:r>
        <w:rPr>
          <w:rFonts w:hint="default" w:ascii="Times New Roman" w:hAnsi="Times New Roman" w:eastAsia="方正仿宋_GBK" w:cs="Times New Roman"/>
          <w:color w:val="auto"/>
          <w:sz w:val="32"/>
          <w:szCs w:val="32"/>
          <w:highlight w:val="none"/>
        </w:rPr>
        <w:t>按照规定要求上报省电力负荷管理中心，同时向市发改委及市供电公司汇报当日错峰执行情况。</w:t>
      </w:r>
    </w:p>
    <w:p>
      <w:pPr>
        <w:pageBreakBefore w:val="0"/>
        <w:widowControl w:val="0"/>
        <w:kinsoku/>
        <w:wordWrap/>
        <w:overflowPunct/>
        <w:topLinePunct w:val="0"/>
        <w:autoSpaceDE/>
        <w:autoSpaceDN/>
        <w:bidi w:val="0"/>
        <w:adjustRightInd/>
        <w:snapToGrid/>
        <w:spacing w:line="480" w:lineRule="exact"/>
        <w:ind w:firstLine="640"/>
        <w:textAlignment w:val="auto"/>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3.极端情况紧急避峰实施流程</w:t>
      </w:r>
    </w:p>
    <w:p>
      <w:pPr>
        <w:pageBreakBefore w:val="0"/>
        <w:widowControl w:val="0"/>
        <w:kinsoku/>
        <w:wordWrap/>
        <w:overflowPunct/>
        <w:topLinePunct w:val="0"/>
        <w:autoSpaceDE/>
        <w:autoSpaceDN/>
        <w:bidi w:val="0"/>
        <w:adjustRightInd/>
        <w:snapToGrid/>
        <w:spacing w:line="48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如出现持续炎热（或极寒）天气，或区外来电严重受限等突发情况，需要在短时间内压降较大负荷时，发改委和供电公司及时向市政府分管领导汇报，在启用电力需求响应手段的同时，直接启动202</w:t>
      </w:r>
      <w:r>
        <w:rPr>
          <w:rFonts w:hint="default" w:ascii="Times New Roman" w:hAnsi="Times New Roman" w:eastAsia="方正仿宋_GBK" w:cs="Times New Roman"/>
          <w:color w:val="auto"/>
          <w:sz w:val="32"/>
          <w:szCs w:val="32"/>
          <w:highlight w:val="none"/>
          <w:lang w:val="en-US" w:eastAsia="zh-CN"/>
        </w:rPr>
        <w:t>5</w:t>
      </w:r>
      <w:r>
        <w:rPr>
          <w:rFonts w:hint="default" w:ascii="Times New Roman" w:hAnsi="Times New Roman" w:eastAsia="方正仿宋_GBK" w:cs="Times New Roman"/>
          <w:color w:val="auto"/>
          <w:sz w:val="32"/>
          <w:szCs w:val="32"/>
          <w:highlight w:val="none"/>
        </w:rPr>
        <w:t>年非连续性生产性企业调休方案，使宿迁电网负荷快速降低至省发改委下达的限额以内。</w:t>
      </w:r>
    </w:p>
    <w:p>
      <w:pPr>
        <w:pStyle w:val="7"/>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方正仿宋_GBK" w:cs="Times New Roman"/>
          <w:color w:val="auto"/>
          <w:sz w:val="32"/>
          <w:szCs w:val="32"/>
          <w:highlight w:val="none"/>
        </w:rPr>
      </w:pPr>
      <w:bookmarkStart w:id="122" w:name="_Toc27301"/>
      <w:r>
        <w:rPr>
          <w:rFonts w:hint="default" w:ascii="Times New Roman" w:hAnsi="Times New Roman" w:eastAsia="方正仿宋_GBK" w:cs="Times New Roman"/>
          <w:color w:val="auto"/>
          <w:sz w:val="32"/>
          <w:szCs w:val="32"/>
          <w:highlight w:val="none"/>
        </w:rPr>
        <w:t>5.</w:t>
      </w:r>
      <w:r>
        <w:rPr>
          <w:rFonts w:hint="default" w:ascii="Times New Roman" w:hAnsi="Times New Roman" w:eastAsia="方正仿宋_GBK" w:cs="Times New Roman"/>
          <w:color w:val="auto"/>
          <w:sz w:val="32"/>
          <w:szCs w:val="32"/>
          <w:highlight w:val="none"/>
          <w:lang w:val="en-US" w:eastAsia="zh-CN"/>
        </w:rPr>
        <w:t>4</w:t>
      </w:r>
      <w:r>
        <w:rPr>
          <w:rFonts w:hint="default" w:ascii="Times New Roman" w:hAnsi="Times New Roman" w:eastAsia="方正仿宋_GBK" w:cs="Times New Roman"/>
          <w:color w:val="auto"/>
          <w:sz w:val="32"/>
          <w:szCs w:val="32"/>
          <w:highlight w:val="none"/>
        </w:rPr>
        <w:t>.3  负荷释放预案</w:t>
      </w:r>
      <w:bookmarkEnd w:id="122"/>
    </w:p>
    <w:p>
      <w:pPr>
        <w:pageBreakBefore w:val="0"/>
        <w:widowControl w:val="0"/>
        <w:kinsoku/>
        <w:wordWrap/>
        <w:overflowPunct/>
        <w:topLinePunct w:val="0"/>
        <w:autoSpaceDE/>
        <w:autoSpaceDN/>
        <w:bidi w:val="0"/>
        <w:adjustRightInd/>
        <w:snapToGrid/>
        <w:spacing w:line="48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1.当电网供电能力恢复时，需要释放非生产性用电控制负荷：省</w:t>
      </w:r>
      <w:r>
        <w:rPr>
          <w:rFonts w:hint="default" w:ascii="Times New Roman" w:hAnsi="Times New Roman" w:eastAsia="方正仿宋_GBK" w:cs="Times New Roman"/>
          <w:color w:val="auto"/>
          <w:sz w:val="32"/>
          <w:szCs w:val="32"/>
          <w:highlight w:val="none"/>
          <w:lang w:val="en-US" w:eastAsia="zh-CN"/>
        </w:rPr>
        <w:t>公司营销部（省电力</w:t>
      </w:r>
      <w:r>
        <w:rPr>
          <w:rFonts w:hint="default" w:ascii="Times New Roman" w:hAnsi="Times New Roman" w:eastAsia="方正仿宋_GBK" w:cs="Times New Roman"/>
          <w:color w:val="auto"/>
          <w:sz w:val="32"/>
          <w:szCs w:val="32"/>
          <w:highlight w:val="none"/>
        </w:rPr>
        <w:t>负荷管理中心</w:t>
      </w:r>
      <w:r>
        <w:rPr>
          <w:rFonts w:hint="default"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rPr>
        <w:t>通知</w:t>
      </w:r>
      <w:r>
        <w:rPr>
          <w:rFonts w:hint="default" w:ascii="Times New Roman" w:hAnsi="Times New Roman" w:eastAsia="方正仿宋_GBK" w:cs="Times New Roman"/>
          <w:color w:val="auto"/>
          <w:sz w:val="32"/>
          <w:szCs w:val="32"/>
          <w:highlight w:val="none"/>
          <w:lang w:val="en-US" w:eastAsia="zh-CN"/>
        </w:rPr>
        <w:t>市</w:t>
      </w:r>
      <w:r>
        <w:rPr>
          <w:rFonts w:hint="default" w:ascii="Times New Roman" w:hAnsi="Times New Roman" w:eastAsia="方正仿宋_GBK" w:cs="Times New Roman"/>
          <w:color w:val="auto"/>
          <w:sz w:val="32"/>
          <w:szCs w:val="32"/>
          <w:highlight w:val="none"/>
        </w:rPr>
        <w:t>电力负荷管理中心释放负荷，市发改委立即通知各级发改部门，各级发改部门通知限制非生产性用电控制负荷子方案用户释放非生产性用电控制负荷，恢复正常非生产性用电。各级供电公司、增量配电网公司督查人员现场协助企业尽快恢复正常生产。</w:t>
      </w:r>
    </w:p>
    <w:p>
      <w:pPr>
        <w:keepNext w:val="0"/>
        <w:keepLines w:val="0"/>
        <w:pageBreakBefore w:val="0"/>
        <w:widowControl w:val="0"/>
        <w:kinsoku/>
        <w:wordWrap/>
        <w:overflowPunct/>
        <w:topLinePunct w:val="0"/>
        <w:autoSpaceDE/>
        <w:autoSpaceDN/>
        <w:bidi w:val="0"/>
        <w:adjustRightInd/>
        <w:snapToGrid/>
        <w:spacing w:line="480" w:lineRule="exact"/>
        <w:ind w:firstLine="640"/>
        <w:textAlignment w:val="auto"/>
        <w:rPr>
          <w:rFonts w:hint="default" w:ascii="Times New Roman" w:hAnsi="Times New Roman" w:eastAsia="方正仿宋_GBK" w:cs="Times New Roman"/>
          <w:color w:val="auto"/>
          <w:spacing w:val="-6"/>
          <w:sz w:val="32"/>
          <w:szCs w:val="32"/>
          <w:highlight w:val="none"/>
        </w:rPr>
      </w:pPr>
      <w:r>
        <w:rPr>
          <w:rFonts w:hint="default" w:ascii="Times New Roman" w:hAnsi="Times New Roman" w:eastAsia="方正仿宋_GBK" w:cs="Times New Roman"/>
          <w:color w:val="auto"/>
          <w:sz w:val="32"/>
          <w:szCs w:val="32"/>
          <w:highlight w:val="none"/>
        </w:rPr>
        <w:t>2.当电网供电能力恢复时，需要释放工业轮休用户组控制负荷：省</w:t>
      </w:r>
      <w:r>
        <w:rPr>
          <w:rFonts w:hint="default" w:ascii="Times New Roman" w:hAnsi="Times New Roman" w:eastAsia="方正仿宋_GBK" w:cs="Times New Roman"/>
          <w:color w:val="auto"/>
          <w:sz w:val="32"/>
          <w:szCs w:val="32"/>
          <w:highlight w:val="none"/>
          <w:lang w:val="en-US" w:eastAsia="zh-CN"/>
        </w:rPr>
        <w:t>公司营销部（省电力</w:t>
      </w:r>
      <w:r>
        <w:rPr>
          <w:rFonts w:hint="default" w:ascii="Times New Roman" w:hAnsi="Times New Roman" w:eastAsia="方正仿宋_GBK" w:cs="Times New Roman"/>
          <w:color w:val="auto"/>
          <w:sz w:val="32"/>
          <w:szCs w:val="32"/>
          <w:highlight w:val="none"/>
        </w:rPr>
        <w:t>负荷管理中心</w:t>
      </w:r>
      <w:r>
        <w:rPr>
          <w:rFonts w:hint="default"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rPr>
        <w:t>通知</w:t>
      </w:r>
      <w:r>
        <w:rPr>
          <w:rFonts w:hint="default" w:ascii="Times New Roman" w:hAnsi="Times New Roman" w:eastAsia="方正仿宋_GBK" w:cs="Times New Roman"/>
          <w:color w:val="auto"/>
          <w:sz w:val="32"/>
          <w:szCs w:val="32"/>
          <w:highlight w:val="none"/>
          <w:lang w:val="en-US" w:eastAsia="zh-CN"/>
        </w:rPr>
        <w:t>市</w:t>
      </w:r>
      <w:r>
        <w:rPr>
          <w:rFonts w:hint="default" w:ascii="Times New Roman" w:hAnsi="Times New Roman" w:eastAsia="方正仿宋_GBK" w:cs="Times New Roman"/>
          <w:color w:val="auto"/>
          <w:sz w:val="32"/>
          <w:szCs w:val="32"/>
          <w:highlight w:val="none"/>
        </w:rPr>
        <w:t>电力负荷管理中心释放负荷</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市发改委通知各县区发改部门，由市营销部（电力负荷管理中心）</w:t>
      </w:r>
      <w:r>
        <w:rPr>
          <w:rFonts w:hint="default" w:ascii="Times New Roman" w:hAnsi="Times New Roman" w:eastAsia="方正仿宋_GBK" w:cs="Times New Roman"/>
          <w:color w:val="auto"/>
          <w:sz w:val="32"/>
          <w:szCs w:val="32"/>
          <w:highlight w:val="none"/>
        </w:rPr>
        <w:t>通知</w:t>
      </w:r>
      <w:r>
        <w:rPr>
          <w:rFonts w:hint="default" w:ascii="Times New Roman" w:hAnsi="Times New Roman" w:eastAsia="方正仿宋_GBK" w:cs="Times New Roman"/>
          <w:color w:val="auto"/>
          <w:sz w:val="32"/>
          <w:szCs w:val="32"/>
          <w:highlight w:val="none"/>
          <w:lang w:eastAsia="zh-CN"/>
        </w:rPr>
        <w:t>营销服务中心</w:t>
      </w:r>
      <w:r>
        <w:rPr>
          <w:rFonts w:hint="default" w:ascii="Times New Roman" w:hAnsi="Times New Roman" w:eastAsia="方正仿宋_GBK" w:cs="Times New Roman"/>
          <w:color w:val="auto"/>
          <w:sz w:val="32"/>
          <w:szCs w:val="32"/>
          <w:highlight w:val="none"/>
        </w:rPr>
        <w:t>、县公司市场营销部。各级公司市场营销部、增量配电网公司立即组织解除所控用户组功控，同时通过短信、电话通知、系统广播信息等方式通知企业立即恢复正常生产。各级供电公司督查人员到现场通知企业尽快恢复正常生产。对于能立即组织</w:t>
      </w:r>
      <w:r>
        <w:rPr>
          <w:rFonts w:hint="default" w:ascii="Times New Roman" w:hAnsi="Times New Roman" w:eastAsia="方正仿宋_GBK" w:cs="Times New Roman"/>
          <w:color w:val="auto"/>
          <w:spacing w:val="-6"/>
          <w:sz w:val="32"/>
          <w:szCs w:val="32"/>
          <w:highlight w:val="none"/>
        </w:rPr>
        <w:t>生产、负荷能快上的企业优先解除所控用户功控，并优先通知。</w:t>
      </w:r>
    </w:p>
    <w:p>
      <w:pPr>
        <w:pageBreakBefore w:val="0"/>
        <w:widowControl w:val="0"/>
        <w:kinsoku/>
        <w:wordWrap/>
        <w:overflowPunct/>
        <w:topLinePunct w:val="0"/>
        <w:autoSpaceDE/>
        <w:autoSpaceDN/>
        <w:bidi w:val="0"/>
        <w:adjustRightInd/>
        <w:snapToGrid/>
        <w:spacing w:line="48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3.负荷快速释放的</w:t>
      </w:r>
      <w:r>
        <w:rPr>
          <w:rFonts w:hint="eastAsia" w:ascii="Times New Roman" w:hAnsi="Times New Roman" w:eastAsia="方正仿宋_GBK" w:cs="Times New Roman"/>
          <w:color w:val="auto"/>
          <w:sz w:val="32"/>
          <w:szCs w:val="32"/>
          <w:highlight w:val="none"/>
          <w:lang w:eastAsia="zh-CN"/>
        </w:rPr>
        <w:t>其他</w:t>
      </w:r>
      <w:r>
        <w:rPr>
          <w:rFonts w:hint="default" w:ascii="Times New Roman" w:hAnsi="Times New Roman" w:eastAsia="方正仿宋_GBK" w:cs="Times New Roman"/>
          <w:color w:val="auto"/>
          <w:sz w:val="32"/>
          <w:szCs w:val="32"/>
          <w:highlight w:val="none"/>
        </w:rPr>
        <w:t>注意事项</w:t>
      </w:r>
    </w:p>
    <w:p>
      <w:pPr>
        <w:pageBreakBefore w:val="0"/>
        <w:widowControl w:val="0"/>
        <w:kinsoku/>
        <w:wordWrap/>
        <w:overflowPunct/>
        <w:topLinePunct w:val="0"/>
        <w:autoSpaceDE/>
        <w:autoSpaceDN/>
        <w:bidi w:val="0"/>
        <w:adjustRightInd/>
        <w:snapToGrid/>
        <w:spacing w:line="48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（1）为确保释放负荷能够快速，原则上以多种手段先通知高负荷用户，确保负荷迅速上升。</w:t>
      </w:r>
    </w:p>
    <w:p>
      <w:pPr>
        <w:pageBreakBefore w:val="0"/>
        <w:widowControl w:val="0"/>
        <w:kinsoku/>
        <w:wordWrap/>
        <w:overflowPunct/>
        <w:topLinePunct w:val="0"/>
        <w:autoSpaceDE/>
        <w:autoSpaceDN/>
        <w:bidi w:val="0"/>
        <w:adjustRightInd/>
        <w:snapToGrid/>
        <w:spacing w:line="48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（2）各用电单位配电房在用电紧张时期加强值班，对配电值班人员加强培训，配电值班人员应能熟练掌握控制负荷和释放负荷的方法。</w:t>
      </w:r>
    </w:p>
    <w:p>
      <w:pPr>
        <w:pageBreakBefore w:val="0"/>
        <w:widowControl w:val="0"/>
        <w:kinsoku/>
        <w:wordWrap/>
        <w:overflowPunct/>
        <w:topLinePunct w:val="0"/>
        <w:autoSpaceDE/>
        <w:autoSpaceDN/>
        <w:bidi w:val="0"/>
        <w:adjustRightInd/>
        <w:snapToGrid/>
        <w:spacing w:line="48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（3）相关企业详细制定本单位内部的负荷释放预案</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在接到负荷管理中心组开放负荷的通知后</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按照本单位的负荷释放方案能很快将单位内部负荷投入生产运行</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将控制负荷对生产的影响降至最小。</w:t>
      </w:r>
    </w:p>
    <w:p>
      <w:pPr>
        <w:pageBreakBefore w:val="0"/>
        <w:widowControl w:val="0"/>
        <w:kinsoku/>
        <w:wordWrap/>
        <w:overflowPunct/>
        <w:topLinePunct w:val="0"/>
        <w:autoSpaceDE/>
        <w:autoSpaceDN/>
        <w:bidi w:val="0"/>
        <w:adjustRightInd/>
        <w:snapToGrid/>
        <w:spacing w:line="48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（4）各级地方主管部门以及供电公司做到通讯、网络信息畅通，在用电紧张期手机必须24小时畅通。</w:t>
      </w:r>
    </w:p>
    <w:p>
      <w:pPr>
        <w:pageBreakBefore w:val="0"/>
        <w:widowControl w:val="0"/>
        <w:kinsoku/>
        <w:wordWrap/>
        <w:overflowPunct/>
        <w:topLinePunct w:val="0"/>
        <w:autoSpaceDE/>
        <w:autoSpaceDN/>
        <w:bidi w:val="0"/>
        <w:adjustRightInd/>
        <w:snapToGrid/>
        <w:spacing w:line="480" w:lineRule="exact"/>
        <w:ind w:firstLine="640"/>
        <w:textAlignment w:val="auto"/>
        <w:rPr>
          <w:rFonts w:hint="default" w:ascii="Times New Roman" w:hAnsi="Times New Roman" w:cs="Times New Roman"/>
          <w:color w:val="auto"/>
          <w:highlight w:val="none"/>
        </w:rPr>
      </w:pPr>
      <w:r>
        <w:rPr>
          <w:rFonts w:hint="default" w:ascii="Times New Roman" w:hAnsi="Times New Roman" w:eastAsia="方正仿宋_GBK" w:cs="Times New Roman"/>
          <w:color w:val="auto"/>
          <w:sz w:val="32"/>
          <w:szCs w:val="32"/>
          <w:highlight w:val="none"/>
        </w:rPr>
        <w:t>（5）市公司</w:t>
      </w:r>
      <w:r>
        <w:rPr>
          <w:rFonts w:hint="default" w:ascii="Times New Roman" w:hAnsi="Times New Roman" w:eastAsia="方正仿宋_GBK" w:cs="Times New Roman"/>
          <w:color w:val="auto"/>
          <w:sz w:val="32"/>
          <w:szCs w:val="32"/>
          <w:highlight w:val="none"/>
          <w:lang w:eastAsia="zh-CN"/>
        </w:rPr>
        <w:t>营销服务中心</w:t>
      </w:r>
      <w:r>
        <w:rPr>
          <w:rFonts w:hint="default" w:ascii="Times New Roman" w:hAnsi="Times New Roman" w:eastAsia="方正仿宋_GBK" w:cs="Times New Roman"/>
          <w:color w:val="auto"/>
          <w:sz w:val="32"/>
          <w:szCs w:val="32"/>
          <w:highlight w:val="none"/>
        </w:rPr>
        <w:t>、县市场营销部、增量配电网公司随时关注电网负荷变化情况和负荷控制情况，若在中午时段和腰荷时段，实际用电负荷在计划指标以下，立即通知响应速度快的企业迅速组织生产。</w:t>
      </w:r>
    </w:p>
    <w:p>
      <w:pPr>
        <w:pageBreakBefore w:val="0"/>
        <w:widowControl w:val="0"/>
        <w:kinsoku/>
        <w:wordWrap/>
        <w:overflowPunct/>
        <w:topLinePunct w:val="0"/>
        <w:autoSpaceDE/>
        <w:autoSpaceDN/>
        <w:bidi w:val="0"/>
        <w:adjustRightInd/>
        <w:snapToGrid/>
        <w:spacing w:line="48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b/>
          <w:bCs/>
          <w:color w:val="auto"/>
          <w:sz w:val="32"/>
          <w:szCs w:val="32"/>
          <w:highlight w:val="none"/>
        </w:rPr>
        <w:t>负荷释放流程说明：</w:t>
      </w:r>
    </w:p>
    <w:p>
      <w:pPr>
        <w:pageBreakBefore w:val="0"/>
        <w:widowControl w:val="0"/>
        <w:kinsoku/>
        <w:wordWrap/>
        <w:overflowPunct/>
        <w:topLinePunct w:val="0"/>
        <w:autoSpaceDE/>
        <w:autoSpaceDN/>
        <w:bidi w:val="0"/>
        <w:adjustRightInd/>
        <w:snapToGrid/>
        <w:spacing w:line="48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（1）省电力负荷管理中心向市电力负荷管理中心下达负荷释放指令；</w:t>
      </w:r>
    </w:p>
    <w:p>
      <w:pPr>
        <w:pageBreakBefore w:val="0"/>
        <w:widowControl w:val="0"/>
        <w:kinsoku/>
        <w:wordWrap/>
        <w:overflowPunct/>
        <w:topLinePunct w:val="0"/>
        <w:autoSpaceDE/>
        <w:autoSpaceDN/>
        <w:bidi w:val="0"/>
        <w:adjustRightInd/>
        <w:snapToGrid/>
        <w:spacing w:line="48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（3）</w:t>
      </w:r>
      <w:r>
        <w:rPr>
          <w:rFonts w:hint="default" w:ascii="Times New Roman" w:hAnsi="Times New Roman" w:eastAsia="方正仿宋_GBK" w:cs="Times New Roman"/>
          <w:color w:val="auto"/>
          <w:sz w:val="32"/>
          <w:szCs w:val="32"/>
          <w:highlight w:val="none"/>
          <w:lang w:val="en-US" w:eastAsia="zh-CN"/>
        </w:rPr>
        <w:t>市</w:t>
      </w:r>
      <w:r>
        <w:rPr>
          <w:rFonts w:hint="default" w:ascii="Times New Roman" w:hAnsi="Times New Roman" w:eastAsia="方正仿宋_GBK" w:cs="Times New Roman"/>
          <w:color w:val="auto"/>
          <w:sz w:val="32"/>
          <w:szCs w:val="32"/>
          <w:highlight w:val="none"/>
        </w:rPr>
        <w:t>电力负荷管理中心</w:t>
      </w:r>
      <w:r>
        <w:rPr>
          <w:rFonts w:hint="default" w:ascii="Times New Roman" w:hAnsi="Times New Roman" w:eastAsia="方正仿宋_GBK" w:cs="Times New Roman"/>
          <w:color w:val="auto"/>
          <w:sz w:val="32"/>
          <w:szCs w:val="32"/>
          <w:highlight w:val="none"/>
          <w:lang w:val="en-US" w:eastAsia="zh-CN"/>
        </w:rPr>
        <w:t>向各县区中心</w:t>
      </w:r>
      <w:r>
        <w:rPr>
          <w:rFonts w:hint="default" w:ascii="Times New Roman" w:hAnsi="Times New Roman" w:eastAsia="方正仿宋_GBK" w:cs="Times New Roman"/>
          <w:color w:val="auto"/>
          <w:sz w:val="32"/>
          <w:szCs w:val="32"/>
          <w:highlight w:val="none"/>
        </w:rPr>
        <w:t>下达负荷释放指令；</w:t>
      </w:r>
    </w:p>
    <w:p>
      <w:pPr>
        <w:pageBreakBefore w:val="0"/>
        <w:widowControl w:val="0"/>
        <w:kinsoku/>
        <w:wordWrap/>
        <w:overflowPunct/>
        <w:topLinePunct w:val="0"/>
        <w:autoSpaceDE/>
        <w:autoSpaceDN/>
        <w:bidi w:val="0"/>
        <w:adjustRightInd/>
        <w:snapToGrid/>
        <w:spacing w:line="48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（4）</w:t>
      </w:r>
      <w:r>
        <w:rPr>
          <w:rFonts w:hint="default" w:ascii="Times New Roman" w:hAnsi="Times New Roman" w:eastAsia="方正仿宋_GBK" w:cs="Times New Roman"/>
          <w:color w:val="auto"/>
          <w:sz w:val="32"/>
          <w:szCs w:val="32"/>
          <w:highlight w:val="none"/>
          <w:lang w:eastAsia="zh-CN"/>
        </w:rPr>
        <w:t>营销服务中心</w:t>
      </w:r>
      <w:r>
        <w:rPr>
          <w:rFonts w:hint="default" w:ascii="Times New Roman" w:hAnsi="Times New Roman" w:eastAsia="方正仿宋_GBK" w:cs="Times New Roman"/>
          <w:color w:val="auto"/>
          <w:sz w:val="32"/>
          <w:szCs w:val="32"/>
          <w:highlight w:val="none"/>
        </w:rPr>
        <w:t>、三县公司营销部、增量配电网公司及市公司相关责任部门依照方案释放负荷，定点人员通知客户责任人；中文信息广播通知；负控广播通知；手机短信平台短信告知等；</w:t>
      </w:r>
    </w:p>
    <w:p>
      <w:pPr>
        <w:pageBreakBefore w:val="0"/>
        <w:widowControl w:val="0"/>
        <w:kinsoku/>
        <w:wordWrap/>
        <w:overflowPunct/>
        <w:topLinePunct w:val="0"/>
        <w:autoSpaceDE/>
        <w:autoSpaceDN/>
        <w:bidi w:val="0"/>
        <w:adjustRightInd/>
        <w:snapToGrid/>
        <w:spacing w:line="48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（5）相关企业快速恢复用电，正常生产；</w:t>
      </w:r>
    </w:p>
    <w:p>
      <w:pPr>
        <w:pageBreakBefore w:val="0"/>
        <w:widowControl w:val="0"/>
        <w:kinsoku/>
        <w:wordWrap/>
        <w:overflowPunct/>
        <w:topLinePunct w:val="0"/>
        <w:autoSpaceDE/>
        <w:autoSpaceDN/>
        <w:bidi w:val="0"/>
        <w:adjustRightInd/>
        <w:snapToGrid/>
        <w:spacing w:line="48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（6）结束。</w:t>
      </w:r>
    </w:p>
    <w:bookmarkEnd w:id="105"/>
    <w:bookmarkEnd w:id="106"/>
    <w:bookmarkEnd w:id="107"/>
    <w:bookmarkEnd w:id="108"/>
    <w:bookmarkEnd w:id="109"/>
    <w:bookmarkEnd w:id="110"/>
    <w:p>
      <w:pPr>
        <w:pStyle w:val="3"/>
        <w:keepNext w:val="0"/>
        <w:keepLines w:val="0"/>
        <w:pageBreakBefore w:val="0"/>
        <w:widowControl w:val="0"/>
        <w:numPr>
          <w:ilvl w:val="0"/>
          <w:numId w:val="0"/>
        </w:numPr>
        <w:kinsoku/>
        <w:wordWrap/>
        <w:overflowPunct/>
        <w:topLinePunct w:val="0"/>
        <w:autoSpaceDE/>
        <w:autoSpaceDN/>
        <w:bidi w:val="0"/>
        <w:spacing w:before="0" w:after="0" w:line="500" w:lineRule="exact"/>
        <w:textAlignment w:val="auto"/>
        <w:rPr>
          <w:rFonts w:hint="default" w:ascii="Times New Roman" w:hAnsi="Times New Roman" w:eastAsia="方正黑体_GBK" w:cs="Times New Roman"/>
          <w:b w:val="0"/>
          <w:color w:val="auto"/>
          <w:kern w:val="2"/>
          <w:sz w:val="32"/>
          <w:highlight w:val="none"/>
        </w:rPr>
      </w:pPr>
    </w:p>
    <w:p>
      <w:pPr>
        <w:pStyle w:val="3"/>
        <w:keepNext w:val="0"/>
        <w:keepLines w:val="0"/>
        <w:pageBreakBefore w:val="0"/>
        <w:widowControl w:val="0"/>
        <w:numPr>
          <w:ilvl w:val="0"/>
          <w:numId w:val="0"/>
        </w:numPr>
        <w:kinsoku/>
        <w:wordWrap/>
        <w:overflowPunct/>
        <w:topLinePunct w:val="0"/>
        <w:autoSpaceDE/>
        <w:autoSpaceDN/>
        <w:bidi w:val="0"/>
        <w:spacing w:before="0" w:after="0" w:line="500" w:lineRule="exact"/>
        <w:textAlignment w:val="auto"/>
        <w:rPr>
          <w:rFonts w:hint="default" w:ascii="Times New Roman" w:hAnsi="Times New Roman" w:eastAsia="方正黑体_GBK" w:cs="Times New Roman"/>
          <w:b w:val="0"/>
          <w:color w:val="auto"/>
          <w:kern w:val="2"/>
          <w:sz w:val="32"/>
          <w:highlight w:val="none"/>
        </w:rPr>
      </w:pPr>
    </w:p>
    <w:p>
      <w:pPr>
        <w:pStyle w:val="3"/>
        <w:keepNext w:val="0"/>
        <w:keepLines w:val="0"/>
        <w:pageBreakBefore w:val="0"/>
        <w:widowControl w:val="0"/>
        <w:numPr>
          <w:ilvl w:val="0"/>
          <w:numId w:val="0"/>
        </w:numPr>
        <w:kinsoku/>
        <w:wordWrap/>
        <w:overflowPunct/>
        <w:topLinePunct w:val="0"/>
        <w:autoSpaceDE/>
        <w:autoSpaceDN/>
        <w:bidi w:val="0"/>
        <w:spacing w:before="0" w:after="0" w:line="500" w:lineRule="exact"/>
        <w:textAlignment w:val="auto"/>
        <w:rPr>
          <w:rFonts w:hint="default" w:ascii="Times New Roman" w:hAnsi="Times New Roman" w:eastAsia="方正黑体_GBK" w:cs="Times New Roman"/>
          <w:b w:val="0"/>
          <w:color w:val="auto"/>
          <w:kern w:val="2"/>
          <w:sz w:val="32"/>
          <w:highlight w:val="none"/>
        </w:rPr>
      </w:pPr>
    </w:p>
    <w:p>
      <w:pPr>
        <w:pStyle w:val="3"/>
        <w:keepNext w:val="0"/>
        <w:keepLines w:val="0"/>
        <w:pageBreakBefore w:val="0"/>
        <w:widowControl w:val="0"/>
        <w:numPr>
          <w:ilvl w:val="0"/>
          <w:numId w:val="0"/>
        </w:numPr>
        <w:kinsoku/>
        <w:wordWrap/>
        <w:overflowPunct/>
        <w:topLinePunct w:val="0"/>
        <w:autoSpaceDE/>
        <w:autoSpaceDN/>
        <w:bidi w:val="0"/>
        <w:spacing w:before="0" w:after="0" w:line="500" w:lineRule="exact"/>
        <w:textAlignment w:val="auto"/>
        <w:rPr>
          <w:rFonts w:hint="default" w:ascii="Times New Roman" w:hAnsi="Times New Roman" w:eastAsia="方正黑体_GBK" w:cs="Times New Roman"/>
          <w:b w:val="0"/>
          <w:color w:val="auto"/>
          <w:kern w:val="2"/>
          <w:sz w:val="32"/>
          <w:highlight w:val="none"/>
        </w:rPr>
      </w:pPr>
    </w:p>
    <w:p>
      <w:pPr>
        <w:rPr>
          <w:rFonts w:hint="default" w:ascii="Times New Roman" w:hAnsi="Times New Roman" w:eastAsia="方正黑体_GBK" w:cs="Times New Roman"/>
          <w:b w:val="0"/>
          <w:color w:val="auto"/>
          <w:kern w:val="2"/>
          <w:sz w:val="32"/>
          <w:highlight w:val="none"/>
        </w:rPr>
      </w:pPr>
      <w:r>
        <w:rPr>
          <w:rFonts w:hint="default" w:ascii="Times New Roman" w:hAnsi="Times New Roman" w:eastAsia="方正黑体_GBK" w:cs="Times New Roman"/>
          <w:b w:val="0"/>
          <w:color w:val="auto"/>
          <w:kern w:val="2"/>
          <w:sz w:val="32"/>
          <w:highlight w:val="none"/>
        </w:rPr>
        <w:br w:type="page"/>
      </w:r>
    </w:p>
    <w:p>
      <w:pPr>
        <w:pStyle w:val="3"/>
        <w:keepNext w:val="0"/>
        <w:keepLines w:val="0"/>
        <w:pageBreakBefore w:val="0"/>
        <w:widowControl w:val="0"/>
        <w:numPr>
          <w:ilvl w:val="0"/>
          <w:numId w:val="0"/>
        </w:numPr>
        <w:kinsoku/>
        <w:wordWrap/>
        <w:overflowPunct/>
        <w:topLinePunct w:val="0"/>
        <w:autoSpaceDE/>
        <w:autoSpaceDN/>
        <w:bidi w:val="0"/>
        <w:spacing w:before="0" w:after="0" w:line="500" w:lineRule="exact"/>
        <w:textAlignment w:val="auto"/>
        <w:rPr>
          <w:rFonts w:hint="default" w:ascii="Times New Roman" w:hAnsi="Times New Roman" w:eastAsia="方正黑体_GBK" w:cs="Times New Roman"/>
          <w:b w:val="0"/>
          <w:color w:val="auto"/>
          <w:kern w:val="2"/>
          <w:sz w:val="32"/>
          <w:highlight w:val="none"/>
        </w:rPr>
      </w:pPr>
      <w:r>
        <w:rPr>
          <w:rFonts w:hint="default" w:ascii="Times New Roman" w:hAnsi="Times New Roman" w:eastAsia="方正黑体_GBK" w:cs="Times New Roman"/>
          <w:b w:val="0"/>
          <w:color w:val="auto"/>
          <w:kern w:val="2"/>
          <w:sz w:val="32"/>
          <w:highlight w:val="none"/>
        </w:rPr>
        <w:t>第六章  保障措施</w:t>
      </w:r>
    </w:p>
    <w:p>
      <w:pPr>
        <w:pStyle w:val="5"/>
        <w:ind w:firstLine="640"/>
        <w:rPr>
          <w:rFonts w:hint="default" w:ascii="Times New Roman" w:hAnsi="Times New Roman" w:eastAsia="方正仿宋_GBK" w:cs="Times New Roman"/>
          <w:color w:val="auto"/>
          <w:sz w:val="32"/>
          <w:szCs w:val="32"/>
          <w:highlight w:val="none"/>
        </w:rPr>
      </w:pPr>
      <w:bookmarkStart w:id="123" w:name="_Toc20757"/>
      <w:bookmarkStart w:id="124" w:name="_Toc317170168"/>
      <w:bookmarkStart w:id="125" w:name="_Toc26519"/>
      <w:bookmarkStart w:id="126" w:name="_Toc4200"/>
      <w:bookmarkStart w:id="127" w:name="_Toc5273"/>
      <w:bookmarkStart w:id="128" w:name="_Toc18057"/>
      <w:bookmarkStart w:id="129" w:name="_Toc22214"/>
      <w:bookmarkStart w:id="130" w:name="_Toc3563"/>
    </w:p>
    <w:p>
      <w:pPr>
        <w:pStyle w:val="5"/>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6.1  组织保障</w:t>
      </w:r>
      <w:bookmarkEnd w:id="123"/>
      <w:bookmarkEnd w:id="124"/>
      <w:bookmarkEnd w:id="125"/>
      <w:bookmarkEnd w:id="126"/>
      <w:bookmarkEnd w:id="127"/>
      <w:bookmarkEnd w:id="128"/>
      <w:bookmarkEnd w:id="129"/>
      <w:bookmarkEnd w:id="130"/>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202</w:t>
      </w:r>
      <w:r>
        <w:rPr>
          <w:rFonts w:hint="default" w:ascii="Times New Roman" w:hAnsi="Times New Roman" w:eastAsia="方正仿宋_GBK" w:cs="Times New Roman"/>
          <w:color w:val="auto"/>
          <w:sz w:val="32"/>
          <w:szCs w:val="32"/>
          <w:highlight w:val="none"/>
          <w:lang w:val="en-US" w:eastAsia="zh-CN"/>
        </w:rPr>
        <w:t>5</w:t>
      </w:r>
      <w:r>
        <w:rPr>
          <w:rFonts w:hint="default" w:ascii="Times New Roman" w:hAnsi="Times New Roman" w:eastAsia="方正仿宋_GBK" w:cs="Times New Roman"/>
          <w:color w:val="auto"/>
          <w:sz w:val="32"/>
          <w:szCs w:val="32"/>
          <w:highlight w:val="none"/>
        </w:rPr>
        <w:t>年电力负荷管理工作将在设立的领导组织及办公室的基础上，进一步完善网络体系，在办公室下设电网调度保</w:t>
      </w:r>
      <w:bookmarkStart w:id="131" w:name="_Toc287249836"/>
      <w:r>
        <w:rPr>
          <w:rFonts w:hint="default" w:ascii="Times New Roman" w:hAnsi="Times New Roman" w:eastAsia="方正仿宋_GBK" w:cs="Times New Roman"/>
          <w:color w:val="auto"/>
          <w:sz w:val="32"/>
          <w:szCs w:val="32"/>
          <w:highlight w:val="none"/>
        </w:rPr>
        <w:t>障组、供电系统保障组、企业端电力应急组、后勤保障组四个工作小组。</w:t>
      </w:r>
    </w:p>
    <w:p>
      <w:pPr>
        <w:pStyle w:val="7"/>
        <w:rPr>
          <w:rFonts w:hint="default" w:ascii="Times New Roman" w:hAnsi="Times New Roman" w:eastAsia="方正仿宋_GBK" w:cs="Times New Roman"/>
          <w:color w:val="auto"/>
          <w:sz w:val="32"/>
          <w:szCs w:val="32"/>
          <w:highlight w:val="none"/>
        </w:rPr>
      </w:pPr>
      <w:bookmarkStart w:id="132" w:name="_Toc31440"/>
      <w:bookmarkStart w:id="133" w:name="_Toc13570"/>
      <w:bookmarkStart w:id="134" w:name="_Toc6957"/>
      <w:bookmarkStart w:id="135" w:name="_Toc13472"/>
      <w:bookmarkStart w:id="136" w:name="_Toc317170169"/>
      <w:bookmarkStart w:id="137" w:name="_Toc1012"/>
      <w:bookmarkStart w:id="138" w:name="_Toc20177"/>
      <w:r>
        <w:rPr>
          <w:rFonts w:hint="default" w:ascii="Times New Roman" w:hAnsi="Times New Roman" w:eastAsia="方正仿宋_GBK" w:cs="Times New Roman"/>
          <w:color w:val="auto"/>
          <w:sz w:val="32"/>
          <w:szCs w:val="32"/>
          <w:highlight w:val="none"/>
        </w:rPr>
        <w:t>6.1.1  组织机构</w:t>
      </w:r>
      <w:bookmarkEnd w:id="131"/>
      <w:bookmarkEnd w:id="132"/>
      <w:bookmarkEnd w:id="133"/>
      <w:bookmarkEnd w:id="134"/>
      <w:bookmarkEnd w:id="135"/>
      <w:bookmarkEnd w:id="136"/>
      <w:bookmarkEnd w:id="137"/>
      <w:bookmarkEnd w:id="138"/>
    </w:p>
    <w:p>
      <w:pPr>
        <w:ind w:firstLine="640"/>
        <w:rPr>
          <w:rFonts w:hint="default" w:ascii="Times New Roman" w:hAnsi="Times New Roman" w:eastAsia="方正仿宋_GBK" w:cs="Times New Roman"/>
          <w:b/>
          <w:color w:val="auto"/>
          <w:sz w:val="32"/>
          <w:szCs w:val="32"/>
          <w:highlight w:val="none"/>
        </w:rPr>
      </w:pPr>
      <w:r>
        <w:rPr>
          <w:rFonts w:hint="default" w:ascii="Times New Roman" w:hAnsi="Times New Roman" w:eastAsia="方正仿宋_GBK" w:cs="Times New Roman"/>
          <w:b/>
          <w:color w:val="auto"/>
          <w:sz w:val="32"/>
          <w:szCs w:val="32"/>
          <w:highlight w:val="none"/>
        </w:rPr>
        <w:t>电网调度保障组</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成  员：调度控制中心、供电服务指挥中心相关人员</w:t>
      </w:r>
    </w:p>
    <w:p>
      <w:pPr>
        <w:ind w:firstLine="640"/>
        <w:rPr>
          <w:rFonts w:hint="default" w:ascii="Times New Roman" w:hAnsi="Times New Roman" w:eastAsia="方正仿宋_GBK" w:cs="Times New Roman"/>
          <w:b/>
          <w:color w:val="auto"/>
          <w:sz w:val="32"/>
          <w:szCs w:val="32"/>
          <w:highlight w:val="none"/>
        </w:rPr>
      </w:pPr>
      <w:r>
        <w:rPr>
          <w:rFonts w:hint="default" w:ascii="Times New Roman" w:hAnsi="Times New Roman" w:eastAsia="方正仿宋_GBK" w:cs="Times New Roman"/>
          <w:b/>
          <w:color w:val="auto"/>
          <w:sz w:val="32"/>
          <w:szCs w:val="32"/>
          <w:highlight w:val="none"/>
        </w:rPr>
        <w:t>供电系统保障组</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成  员：设备管理部及变电运维室、变电检修室、输电</w:t>
      </w:r>
      <w:r>
        <w:rPr>
          <w:rFonts w:hint="default" w:ascii="Times New Roman" w:hAnsi="Times New Roman" w:eastAsia="方正仿宋_GBK" w:cs="Times New Roman"/>
          <w:color w:val="auto"/>
          <w:spacing w:val="-6"/>
          <w:sz w:val="32"/>
          <w:szCs w:val="32"/>
          <w:highlight w:val="none"/>
        </w:rPr>
        <w:t>运检室和配电运检室、安全监察质量部等部门和单位相关人员</w:t>
      </w:r>
    </w:p>
    <w:p>
      <w:pPr>
        <w:ind w:firstLine="640"/>
        <w:rPr>
          <w:rFonts w:hint="default" w:ascii="Times New Roman" w:hAnsi="Times New Roman" w:eastAsia="方正仿宋_GBK" w:cs="Times New Roman"/>
          <w:b/>
          <w:color w:val="auto"/>
          <w:sz w:val="32"/>
          <w:szCs w:val="32"/>
          <w:highlight w:val="none"/>
        </w:rPr>
      </w:pPr>
      <w:r>
        <w:rPr>
          <w:rFonts w:hint="default" w:ascii="Times New Roman" w:hAnsi="Times New Roman" w:eastAsia="方正仿宋_GBK" w:cs="Times New Roman"/>
          <w:b/>
          <w:color w:val="auto"/>
          <w:sz w:val="32"/>
          <w:szCs w:val="32"/>
          <w:highlight w:val="none"/>
        </w:rPr>
        <w:t>企业端电力应急组</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成  员：市场营销部、</w:t>
      </w:r>
      <w:r>
        <w:rPr>
          <w:rFonts w:hint="default" w:ascii="Times New Roman" w:hAnsi="Times New Roman" w:eastAsia="方正仿宋_GBK" w:cs="Times New Roman"/>
          <w:color w:val="auto"/>
          <w:sz w:val="32"/>
          <w:szCs w:val="32"/>
          <w:highlight w:val="none"/>
          <w:lang w:eastAsia="zh-CN"/>
        </w:rPr>
        <w:t>营销服务中心</w:t>
      </w:r>
      <w:r>
        <w:rPr>
          <w:rFonts w:hint="default" w:ascii="Times New Roman" w:hAnsi="Times New Roman" w:eastAsia="方正仿宋_GBK" w:cs="Times New Roman"/>
          <w:color w:val="auto"/>
          <w:sz w:val="32"/>
          <w:szCs w:val="32"/>
          <w:highlight w:val="none"/>
        </w:rPr>
        <w:t>、增量配电网公司等部门相关人员</w:t>
      </w:r>
    </w:p>
    <w:p>
      <w:pPr>
        <w:ind w:firstLine="640"/>
        <w:rPr>
          <w:rFonts w:hint="default" w:ascii="Times New Roman" w:hAnsi="Times New Roman" w:eastAsia="方正仿宋_GBK" w:cs="Times New Roman"/>
          <w:b/>
          <w:color w:val="auto"/>
          <w:sz w:val="32"/>
          <w:szCs w:val="32"/>
          <w:highlight w:val="none"/>
        </w:rPr>
      </w:pPr>
      <w:r>
        <w:rPr>
          <w:rFonts w:hint="default" w:ascii="Times New Roman" w:hAnsi="Times New Roman" w:eastAsia="方正仿宋_GBK" w:cs="Times New Roman"/>
          <w:b/>
          <w:color w:val="auto"/>
          <w:sz w:val="32"/>
          <w:szCs w:val="32"/>
          <w:highlight w:val="none"/>
        </w:rPr>
        <w:t>后勤保障组</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成  员：办公室、党群工作部、综合服务中心、物资供应中心、信通公司等部门和单位相关工作人员</w:t>
      </w:r>
      <w:bookmarkStart w:id="139" w:name="_Toc287249837"/>
      <w:r>
        <w:rPr>
          <w:rFonts w:hint="default" w:ascii="Times New Roman" w:hAnsi="Times New Roman" w:eastAsia="方正仿宋_GBK" w:cs="Times New Roman"/>
          <w:color w:val="auto"/>
          <w:sz w:val="32"/>
          <w:szCs w:val="32"/>
          <w:highlight w:val="none"/>
        </w:rPr>
        <w:t xml:space="preserve">  </w:t>
      </w:r>
    </w:p>
    <w:p>
      <w:pPr>
        <w:pStyle w:val="7"/>
        <w:rPr>
          <w:rFonts w:hint="default" w:ascii="Times New Roman" w:hAnsi="Times New Roman" w:eastAsia="方正仿宋_GBK" w:cs="Times New Roman"/>
          <w:color w:val="auto"/>
          <w:sz w:val="32"/>
          <w:szCs w:val="32"/>
          <w:highlight w:val="none"/>
        </w:rPr>
      </w:pPr>
      <w:bookmarkStart w:id="140" w:name="_Toc12393"/>
      <w:bookmarkStart w:id="141" w:name="_Toc14894"/>
      <w:bookmarkStart w:id="142" w:name="_Toc25078"/>
      <w:bookmarkStart w:id="143" w:name="_Toc317170170"/>
      <w:bookmarkStart w:id="144" w:name="_Toc23316"/>
      <w:bookmarkStart w:id="145" w:name="_Toc12442"/>
      <w:bookmarkStart w:id="146" w:name="_Toc23471"/>
      <w:r>
        <w:rPr>
          <w:rFonts w:hint="default" w:ascii="Times New Roman" w:hAnsi="Times New Roman" w:eastAsia="方正仿宋_GBK" w:cs="Times New Roman"/>
          <w:color w:val="auto"/>
          <w:sz w:val="32"/>
          <w:szCs w:val="32"/>
          <w:highlight w:val="none"/>
        </w:rPr>
        <w:t>6.1.2  工作职责</w:t>
      </w:r>
      <w:bookmarkEnd w:id="139"/>
      <w:bookmarkEnd w:id="140"/>
      <w:bookmarkEnd w:id="141"/>
      <w:bookmarkEnd w:id="142"/>
      <w:bookmarkEnd w:id="143"/>
      <w:bookmarkEnd w:id="144"/>
      <w:bookmarkEnd w:id="145"/>
      <w:bookmarkEnd w:id="146"/>
    </w:p>
    <w:p>
      <w:pPr>
        <w:ind w:firstLine="640"/>
        <w:rPr>
          <w:rFonts w:hint="default" w:ascii="Times New Roman" w:hAnsi="Times New Roman" w:eastAsia="方正仿宋_GBK" w:cs="Times New Roman"/>
          <w:b/>
          <w:color w:val="auto"/>
          <w:sz w:val="32"/>
          <w:szCs w:val="32"/>
          <w:highlight w:val="none"/>
        </w:rPr>
      </w:pPr>
      <w:r>
        <w:rPr>
          <w:rFonts w:hint="default" w:ascii="Times New Roman" w:hAnsi="Times New Roman" w:eastAsia="方正仿宋_GBK" w:cs="Times New Roman"/>
          <w:b/>
          <w:color w:val="auto"/>
          <w:sz w:val="32"/>
          <w:szCs w:val="32"/>
          <w:highlight w:val="none"/>
        </w:rPr>
        <w:t>电网调度保障组</w:t>
      </w:r>
    </w:p>
    <w:p>
      <w:pPr>
        <w:keepNext w:val="0"/>
        <w:keepLines w:val="0"/>
        <w:pageBreakBefore w:val="0"/>
        <w:widowControl w:val="0"/>
        <w:kinsoku/>
        <w:wordWrap/>
        <w:overflowPunct/>
        <w:topLinePunct w:val="0"/>
        <w:autoSpaceDE/>
        <w:autoSpaceDN/>
        <w:bidi w:val="0"/>
        <w:adjustRightInd/>
        <w:snapToGrid/>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负责安全、合理调度、运行电网，合理安排电网运行方式，要求全保护、全接线运行，确保电网运行在最安全、可靠水平。制定调度系统电网保电预案和事故处理预案，并开展模拟训练。要求操作熟练，意外情况下能迅速恢复重要保电单位供电。</w:t>
      </w:r>
    </w:p>
    <w:p>
      <w:pPr>
        <w:keepNext w:val="0"/>
        <w:keepLines w:val="0"/>
        <w:pageBreakBefore w:val="0"/>
        <w:widowControl w:val="0"/>
        <w:kinsoku/>
        <w:wordWrap/>
        <w:overflowPunct/>
        <w:topLinePunct w:val="0"/>
        <w:autoSpaceDE/>
        <w:autoSpaceDN/>
        <w:bidi w:val="0"/>
        <w:adjustRightInd/>
        <w:snapToGrid/>
        <w:ind w:firstLine="640"/>
        <w:textAlignment w:val="auto"/>
        <w:rPr>
          <w:rFonts w:hint="default" w:ascii="Times New Roman" w:hAnsi="Times New Roman" w:eastAsia="方正仿宋_GBK" w:cs="Times New Roman"/>
          <w:b/>
          <w:color w:val="auto"/>
          <w:sz w:val="32"/>
          <w:szCs w:val="32"/>
          <w:highlight w:val="none"/>
        </w:rPr>
      </w:pPr>
      <w:r>
        <w:rPr>
          <w:rFonts w:hint="default" w:ascii="Times New Roman" w:hAnsi="Times New Roman" w:eastAsia="方正仿宋_GBK" w:cs="Times New Roman"/>
          <w:b/>
          <w:color w:val="auto"/>
          <w:sz w:val="32"/>
          <w:szCs w:val="32"/>
          <w:highlight w:val="none"/>
        </w:rPr>
        <w:t>供电系统保障组</w:t>
      </w:r>
    </w:p>
    <w:p>
      <w:pPr>
        <w:keepNext w:val="0"/>
        <w:keepLines w:val="0"/>
        <w:pageBreakBefore w:val="0"/>
        <w:widowControl w:val="0"/>
        <w:kinsoku/>
        <w:wordWrap/>
        <w:overflowPunct/>
        <w:topLinePunct w:val="0"/>
        <w:autoSpaceDE/>
        <w:autoSpaceDN/>
        <w:bidi w:val="0"/>
        <w:adjustRightInd/>
        <w:snapToGrid/>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负责输电、变电、配电网络的安全运行、维护和管理，不发生可以防范的外力破坏事故和人员责任事故；制定输电、变电、配电网络保电预案和事故处理预案，并经切实演习，确保系统安全、可靠供电。加强电力实施保护，重要线路，关键地段，加强巡视，安排重要变电所人员值守。</w:t>
      </w:r>
    </w:p>
    <w:p>
      <w:pPr>
        <w:keepNext w:val="0"/>
        <w:keepLines w:val="0"/>
        <w:pageBreakBefore w:val="0"/>
        <w:widowControl w:val="0"/>
        <w:kinsoku/>
        <w:wordWrap/>
        <w:overflowPunct/>
        <w:topLinePunct w:val="0"/>
        <w:autoSpaceDE/>
        <w:autoSpaceDN/>
        <w:bidi w:val="0"/>
        <w:adjustRightInd/>
        <w:snapToGrid/>
        <w:ind w:firstLine="640"/>
        <w:textAlignment w:val="auto"/>
        <w:rPr>
          <w:rFonts w:hint="default" w:ascii="Times New Roman" w:hAnsi="Times New Roman" w:eastAsia="方正仿宋_GBK" w:cs="Times New Roman"/>
          <w:b/>
          <w:color w:val="auto"/>
          <w:sz w:val="32"/>
          <w:szCs w:val="32"/>
          <w:highlight w:val="none"/>
        </w:rPr>
      </w:pPr>
      <w:r>
        <w:rPr>
          <w:rFonts w:hint="default" w:ascii="Times New Roman" w:hAnsi="Times New Roman" w:eastAsia="方正仿宋_GBK" w:cs="Times New Roman"/>
          <w:b/>
          <w:color w:val="auto"/>
          <w:sz w:val="32"/>
          <w:szCs w:val="32"/>
          <w:highlight w:val="none"/>
        </w:rPr>
        <w:t>企业端电力应急组</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负责对执行电力负荷管理工作单位进行用电安全检查，提供技术指导和协助规范管理，对执行电力负荷管理工作单位联络、对接，并协助市能源保供协调小组办公室与电力负荷管理相关企业</w:t>
      </w:r>
      <w:r>
        <w:rPr>
          <w:rFonts w:hint="eastAsia" w:ascii="Times New Roman" w:hAnsi="Times New Roman" w:eastAsia="方正仿宋_GBK" w:cs="Times New Roman"/>
          <w:color w:val="auto"/>
          <w:sz w:val="32"/>
          <w:szCs w:val="32"/>
          <w:highlight w:val="none"/>
          <w:lang w:eastAsia="zh-CN"/>
        </w:rPr>
        <w:t>签订</w:t>
      </w:r>
      <w:r>
        <w:rPr>
          <w:rFonts w:hint="default" w:ascii="Times New Roman" w:hAnsi="Times New Roman" w:eastAsia="方正仿宋_GBK" w:cs="Times New Roman"/>
          <w:color w:val="auto"/>
          <w:sz w:val="32"/>
          <w:szCs w:val="32"/>
          <w:highlight w:val="none"/>
        </w:rPr>
        <w:t>《电力负荷管理工作责任书》，协助市能源保供协调小组办公室对电力负荷管理工作执行情况进行督察，并可随时应对突发事件。</w:t>
      </w:r>
    </w:p>
    <w:p>
      <w:pPr>
        <w:ind w:firstLine="640"/>
        <w:rPr>
          <w:rFonts w:hint="default" w:ascii="Times New Roman" w:hAnsi="Times New Roman" w:eastAsia="方正仿宋_GBK" w:cs="Times New Roman"/>
          <w:b/>
          <w:color w:val="auto"/>
          <w:sz w:val="32"/>
          <w:szCs w:val="32"/>
          <w:highlight w:val="none"/>
        </w:rPr>
      </w:pPr>
      <w:r>
        <w:rPr>
          <w:rFonts w:hint="default" w:ascii="Times New Roman" w:hAnsi="Times New Roman" w:eastAsia="方正仿宋_GBK" w:cs="Times New Roman"/>
          <w:b/>
          <w:color w:val="auto"/>
          <w:sz w:val="32"/>
          <w:szCs w:val="32"/>
          <w:highlight w:val="none"/>
        </w:rPr>
        <w:t>后勤保障组</w:t>
      </w:r>
    </w:p>
    <w:p>
      <w:pPr>
        <w:ind w:firstLine="640"/>
        <w:rPr>
          <w:rFonts w:hint="default" w:ascii="Times New Roman" w:hAnsi="Times New Roman" w:eastAsia="方正仿宋_GBK" w:cs="Times New Roman"/>
          <w:b/>
          <w:bCs/>
          <w:color w:val="auto"/>
          <w:sz w:val="32"/>
          <w:szCs w:val="32"/>
          <w:highlight w:val="none"/>
        </w:rPr>
      </w:pPr>
      <w:bookmarkStart w:id="147" w:name="_Toc287249838"/>
      <w:r>
        <w:rPr>
          <w:rFonts w:hint="default" w:ascii="Times New Roman" w:hAnsi="Times New Roman" w:eastAsia="方正仿宋_GBK" w:cs="Times New Roman"/>
          <w:b/>
          <w:bCs/>
          <w:color w:val="auto"/>
          <w:sz w:val="32"/>
          <w:szCs w:val="32"/>
          <w:highlight w:val="none"/>
        </w:rPr>
        <w:t>1.通讯保障</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以公司常规通信资源和社会公共通信资源为主，应急通信系统为辅，保证应急指挥和现场抢险救援的通信畅通， 信息传输及时无误。</w:t>
      </w:r>
    </w:p>
    <w:p>
      <w:pPr>
        <w:ind w:firstLine="640"/>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2.后勤生活保障</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进入Ⅱ级及以上预警或启动应急响应时，办公室、物业公司应配备值班办公用品、食品；布置相关基层单位根据应急值班、应急队伍等人员数目，按值班和应急需要，储备和提供生活用品；主动询问调度控制中心、生产技术部和安监部等部门，判断事件趋势和可能发生的应急队伍调用情况，预备人员食宿。</w:t>
      </w:r>
    </w:p>
    <w:p>
      <w:pPr>
        <w:ind w:firstLine="640"/>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3.交通运输保障</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进入Ⅱ级及以上预警或启动应急响应时，办公室负责通知公司车队准备好应急车辆2部，充足油料，具备涉水、越野等性能，驾驶员现场值班。</w:t>
      </w:r>
    </w:p>
    <w:p>
      <w:pPr>
        <w:pStyle w:val="5"/>
        <w:ind w:firstLine="640"/>
        <w:rPr>
          <w:rFonts w:hint="default" w:ascii="Times New Roman" w:hAnsi="Times New Roman" w:eastAsia="方正仿宋_GBK" w:cs="Times New Roman"/>
          <w:color w:val="auto"/>
          <w:sz w:val="32"/>
          <w:szCs w:val="32"/>
          <w:highlight w:val="none"/>
        </w:rPr>
      </w:pPr>
      <w:bookmarkStart w:id="148" w:name="_Toc9553"/>
      <w:bookmarkStart w:id="149" w:name="_Toc11362"/>
      <w:bookmarkStart w:id="150" w:name="_Toc11998"/>
      <w:bookmarkStart w:id="151" w:name="_Toc25706"/>
      <w:bookmarkStart w:id="152" w:name="_Toc317170171"/>
      <w:bookmarkStart w:id="153" w:name="_Toc23828"/>
      <w:bookmarkStart w:id="154" w:name="_Toc13018"/>
      <w:bookmarkStart w:id="155" w:name="_Toc5467"/>
      <w:r>
        <w:rPr>
          <w:rFonts w:hint="default" w:ascii="Times New Roman" w:hAnsi="Times New Roman" w:eastAsia="方正仿宋_GBK" w:cs="Times New Roman"/>
          <w:color w:val="auto"/>
          <w:sz w:val="32"/>
          <w:szCs w:val="32"/>
          <w:highlight w:val="none"/>
        </w:rPr>
        <w:t>6.2  技术保障</w:t>
      </w:r>
      <w:bookmarkEnd w:id="147"/>
      <w:bookmarkEnd w:id="148"/>
      <w:bookmarkEnd w:id="149"/>
      <w:bookmarkEnd w:id="150"/>
      <w:bookmarkEnd w:id="151"/>
      <w:bookmarkEnd w:id="152"/>
      <w:bookmarkEnd w:id="153"/>
      <w:bookmarkEnd w:id="154"/>
      <w:bookmarkEnd w:id="155"/>
    </w:p>
    <w:p>
      <w:pPr>
        <w:ind w:firstLine="640"/>
        <w:rPr>
          <w:rFonts w:hint="default" w:ascii="Times New Roman" w:hAnsi="Times New Roman" w:eastAsia="方正仿宋_GBK" w:cs="Times New Roman"/>
          <w:color w:val="auto"/>
          <w:sz w:val="32"/>
          <w:szCs w:val="32"/>
          <w:highlight w:val="none"/>
        </w:rPr>
      </w:pPr>
      <w:bookmarkStart w:id="156" w:name="_Toc287249839"/>
      <w:r>
        <w:rPr>
          <w:rFonts w:hint="default" w:ascii="Times New Roman" w:hAnsi="Times New Roman" w:eastAsia="方正仿宋_GBK" w:cs="Times New Roman"/>
          <w:color w:val="auto"/>
          <w:sz w:val="32"/>
          <w:szCs w:val="32"/>
          <w:highlight w:val="none"/>
        </w:rPr>
        <w:t>负荷管理中心做好主站设备及用户终端的现场巡检、开关试跳工作，发现缺陷及时处理。针对电力负荷管理预案的电力用户制定现场负荷管理装置及其控制回路的巡视、试跳及改造计划，按计划有序推进客户端</w:t>
      </w:r>
      <w:r>
        <w:rPr>
          <w:rFonts w:hint="default" w:ascii="Times New Roman" w:hAnsi="Times New Roman" w:eastAsia="方正仿宋_GBK" w:cs="Times New Roman"/>
          <w:color w:val="auto"/>
          <w:sz w:val="32"/>
          <w:szCs w:val="32"/>
          <w:highlight w:val="none"/>
          <w:lang w:eastAsia="zh-CN"/>
        </w:rPr>
        <w:t>负荷管理装置</w:t>
      </w:r>
      <w:r>
        <w:rPr>
          <w:rFonts w:hint="default" w:ascii="Times New Roman" w:hAnsi="Times New Roman" w:eastAsia="方正仿宋_GBK" w:cs="Times New Roman"/>
          <w:color w:val="auto"/>
          <w:sz w:val="32"/>
          <w:szCs w:val="32"/>
          <w:highlight w:val="none"/>
        </w:rPr>
        <w:t>控制回路改造，确保方案已改造客户的全部开关具有稳定、可靠的远程开断能力。做好现场资料的核对工作，补充和完善系统档案资料，使机内资料与现场一致，确保系统功率数据采集计算正确，操作准确无误。</w:t>
      </w:r>
    </w:p>
    <w:p>
      <w:pPr>
        <w:ind w:firstLine="640"/>
        <w:rPr>
          <w:rFonts w:hint="default" w:ascii="Times New Roman" w:hAnsi="Times New Roman" w:eastAsia="方正仿宋_GBK" w:cs="Times New Roman"/>
          <w:color w:val="auto"/>
          <w:spacing w:val="-6"/>
          <w:sz w:val="32"/>
          <w:szCs w:val="32"/>
          <w:highlight w:val="none"/>
        </w:rPr>
      </w:pPr>
      <w:r>
        <w:rPr>
          <w:rFonts w:hint="default" w:ascii="Times New Roman" w:hAnsi="Times New Roman" w:eastAsia="方正仿宋_GBK" w:cs="Times New Roman"/>
          <w:color w:val="auto"/>
          <w:sz w:val="32"/>
          <w:szCs w:val="32"/>
          <w:highlight w:val="none"/>
        </w:rPr>
        <w:t>负荷管理中心组织精干力量，24小时值班，做好运行管理和控制负荷操作。按照应急方案用户分组预设用户群组，提高操作效率。同时加强对终端维护，发现终端异常要及时</w:t>
      </w:r>
      <w:r>
        <w:rPr>
          <w:rFonts w:hint="default" w:ascii="Times New Roman" w:hAnsi="Times New Roman" w:eastAsia="方正仿宋_GBK" w:cs="Times New Roman"/>
          <w:color w:val="auto"/>
          <w:spacing w:val="-6"/>
          <w:sz w:val="32"/>
          <w:szCs w:val="32"/>
          <w:highlight w:val="none"/>
        </w:rPr>
        <w:t>到现场检修，确保控制负荷指令在每一台终端都能有效执行。</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为保障电力负荷管理技术</w:t>
      </w:r>
      <w:r>
        <w:rPr>
          <w:rFonts w:hint="default" w:ascii="Times New Roman" w:hAnsi="Times New Roman" w:eastAsia="方正仿宋_GBK" w:cs="Times New Roman"/>
          <w:color w:val="auto"/>
          <w:sz w:val="32"/>
          <w:szCs w:val="32"/>
          <w:highlight w:val="none"/>
          <w:lang w:val="en-US" w:eastAsia="zh-CN"/>
        </w:rPr>
        <w:t>措施</w:t>
      </w:r>
      <w:r>
        <w:rPr>
          <w:rFonts w:hint="default" w:ascii="Times New Roman" w:hAnsi="Times New Roman" w:eastAsia="方正仿宋_GBK" w:cs="Times New Roman"/>
          <w:color w:val="auto"/>
          <w:sz w:val="32"/>
          <w:szCs w:val="32"/>
          <w:highlight w:val="none"/>
        </w:rPr>
        <w:t>有效执行，方案用户应配合供电公司开展电力用户负荷管理设备和开关回路运行情况的检查及试跳工作，对于开关回路不符合要求的，要及时维修和改造，确保开关开断可靠并具备</w:t>
      </w:r>
      <w:r>
        <w:rPr>
          <w:rFonts w:hint="default" w:ascii="Times New Roman" w:hAnsi="Times New Roman" w:eastAsia="方正仿宋_GBK" w:cs="Times New Roman"/>
          <w:color w:val="auto"/>
          <w:sz w:val="32"/>
          <w:szCs w:val="32"/>
          <w:highlight w:val="none"/>
          <w:lang w:val="en-US" w:eastAsia="zh-CN"/>
        </w:rPr>
        <w:t>负荷管理装置</w:t>
      </w:r>
      <w:r>
        <w:rPr>
          <w:rFonts w:hint="default" w:ascii="Times New Roman" w:hAnsi="Times New Roman" w:eastAsia="方正仿宋_GBK" w:cs="Times New Roman"/>
          <w:color w:val="auto"/>
          <w:sz w:val="32"/>
          <w:szCs w:val="32"/>
          <w:highlight w:val="none"/>
        </w:rPr>
        <w:t>远程控制能力。</w:t>
      </w:r>
    </w:p>
    <w:p>
      <w:pPr>
        <w:pStyle w:val="5"/>
        <w:ind w:firstLine="640"/>
        <w:rPr>
          <w:rFonts w:hint="default" w:ascii="Times New Roman" w:hAnsi="Times New Roman" w:eastAsia="方正仿宋_GBK" w:cs="Times New Roman"/>
          <w:color w:val="auto"/>
          <w:sz w:val="32"/>
          <w:szCs w:val="32"/>
          <w:highlight w:val="none"/>
        </w:rPr>
      </w:pPr>
      <w:bookmarkStart w:id="157" w:name="_Toc9659"/>
      <w:bookmarkStart w:id="158" w:name="_Toc15109"/>
      <w:bookmarkStart w:id="159" w:name="_Toc317170172"/>
      <w:bookmarkStart w:id="160" w:name="_Toc11530"/>
      <w:bookmarkStart w:id="161" w:name="_Toc24110"/>
      <w:bookmarkStart w:id="162" w:name="_Toc24825"/>
      <w:bookmarkStart w:id="163" w:name="_Toc25906"/>
      <w:bookmarkStart w:id="164" w:name="_Toc10655"/>
      <w:r>
        <w:rPr>
          <w:rFonts w:hint="default" w:ascii="Times New Roman" w:hAnsi="Times New Roman" w:eastAsia="方正仿宋_GBK" w:cs="Times New Roman"/>
          <w:color w:val="auto"/>
          <w:sz w:val="32"/>
          <w:szCs w:val="32"/>
          <w:highlight w:val="none"/>
        </w:rPr>
        <w:t>6.3  服务保障</w:t>
      </w:r>
      <w:bookmarkEnd w:id="156"/>
      <w:bookmarkEnd w:id="157"/>
      <w:bookmarkEnd w:id="158"/>
      <w:bookmarkEnd w:id="159"/>
      <w:bookmarkEnd w:id="160"/>
      <w:bookmarkEnd w:id="161"/>
      <w:bookmarkEnd w:id="162"/>
      <w:bookmarkEnd w:id="163"/>
      <w:bookmarkEnd w:id="164"/>
      <w:bookmarkStart w:id="165" w:name="_Toc274904651"/>
      <w:bookmarkEnd w:id="165"/>
      <w:bookmarkStart w:id="166" w:name="_Toc274904845"/>
      <w:bookmarkEnd w:id="166"/>
      <w:bookmarkStart w:id="167" w:name="_Toc287249840"/>
      <w:bookmarkEnd w:id="167"/>
    </w:p>
    <w:p>
      <w:pPr>
        <w:pStyle w:val="7"/>
        <w:rPr>
          <w:rFonts w:hint="default" w:ascii="Times New Roman" w:hAnsi="Times New Roman" w:eastAsia="方正仿宋_GBK" w:cs="Times New Roman"/>
          <w:color w:val="auto"/>
          <w:sz w:val="32"/>
          <w:szCs w:val="32"/>
          <w:highlight w:val="none"/>
        </w:rPr>
      </w:pPr>
      <w:bookmarkStart w:id="168" w:name="_Toc15291"/>
      <w:bookmarkStart w:id="169" w:name="_Toc6741"/>
      <w:bookmarkStart w:id="170" w:name="_Toc14205"/>
      <w:bookmarkStart w:id="171" w:name="_Toc24695"/>
      <w:bookmarkStart w:id="172" w:name="_Toc6012"/>
      <w:bookmarkStart w:id="173" w:name="_Toc7004"/>
      <w:bookmarkStart w:id="174" w:name="_Toc317170173"/>
      <w:r>
        <w:rPr>
          <w:rFonts w:hint="default" w:ascii="Times New Roman" w:hAnsi="Times New Roman" w:eastAsia="方正仿宋_GBK" w:cs="Times New Roman"/>
          <w:color w:val="auto"/>
          <w:sz w:val="32"/>
          <w:szCs w:val="32"/>
          <w:highlight w:val="none"/>
        </w:rPr>
        <w:t>6.3.1  抢修服务保障</w:t>
      </w:r>
      <w:bookmarkEnd w:id="168"/>
      <w:bookmarkEnd w:id="169"/>
      <w:bookmarkEnd w:id="170"/>
      <w:bookmarkEnd w:id="171"/>
      <w:bookmarkEnd w:id="172"/>
      <w:bookmarkEnd w:id="173"/>
      <w:bookmarkEnd w:id="174"/>
      <w:bookmarkStart w:id="175" w:name="_Toc317150030"/>
      <w:bookmarkEnd w:id="175"/>
      <w:bookmarkStart w:id="176" w:name="_Toc317170105"/>
      <w:bookmarkEnd w:id="176"/>
      <w:bookmarkStart w:id="177" w:name="_Toc317082998"/>
      <w:bookmarkEnd w:id="177"/>
      <w:bookmarkStart w:id="178" w:name="_Toc317084019"/>
      <w:bookmarkEnd w:id="178"/>
      <w:bookmarkStart w:id="179" w:name="_Toc287249842"/>
      <w:bookmarkEnd w:id="179"/>
      <w:bookmarkStart w:id="180" w:name="_Toc317082359"/>
      <w:bookmarkEnd w:id="180"/>
      <w:bookmarkStart w:id="181" w:name="_Toc317083952"/>
      <w:bookmarkEnd w:id="181"/>
      <w:bookmarkStart w:id="182" w:name="_Toc274904652"/>
      <w:bookmarkEnd w:id="182"/>
      <w:bookmarkStart w:id="183" w:name="_Toc317082456"/>
      <w:bookmarkEnd w:id="183"/>
      <w:bookmarkStart w:id="184" w:name="_Toc317170174"/>
      <w:bookmarkEnd w:id="184"/>
      <w:bookmarkStart w:id="185" w:name="_Toc317082457"/>
      <w:bookmarkEnd w:id="185"/>
      <w:bookmarkStart w:id="186" w:name="_Toc317170031"/>
      <w:bookmarkEnd w:id="186"/>
      <w:bookmarkStart w:id="187" w:name="_Toc317082360"/>
      <w:bookmarkEnd w:id="187"/>
      <w:bookmarkStart w:id="188" w:name="_Toc287249841"/>
      <w:bookmarkEnd w:id="188"/>
      <w:bookmarkStart w:id="189" w:name="_Toc317084020"/>
      <w:bookmarkEnd w:id="189"/>
      <w:bookmarkStart w:id="190" w:name="_Toc317082958"/>
      <w:bookmarkEnd w:id="190"/>
      <w:bookmarkStart w:id="191" w:name="_Toc317083951"/>
      <w:bookmarkEnd w:id="191"/>
      <w:bookmarkStart w:id="192" w:name="_Toc317150827"/>
      <w:bookmarkEnd w:id="192"/>
      <w:bookmarkStart w:id="193" w:name="_Toc317082957"/>
      <w:bookmarkEnd w:id="193"/>
      <w:bookmarkStart w:id="194" w:name="_Toc317149443"/>
      <w:bookmarkEnd w:id="194"/>
      <w:bookmarkStart w:id="195" w:name="_Toc317151833"/>
      <w:bookmarkEnd w:id="195"/>
      <w:bookmarkStart w:id="196" w:name="_Toc274904653"/>
      <w:bookmarkEnd w:id="196"/>
      <w:bookmarkStart w:id="197" w:name="_Toc274904846"/>
      <w:bookmarkEnd w:id="197"/>
      <w:bookmarkStart w:id="198" w:name="_Toc317149444"/>
      <w:bookmarkEnd w:id="198"/>
      <w:bookmarkStart w:id="199" w:name="_Toc317150031"/>
      <w:bookmarkEnd w:id="199"/>
      <w:bookmarkStart w:id="200" w:name="_Toc274904847"/>
      <w:bookmarkEnd w:id="200"/>
      <w:bookmarkStart w:id="201" w:name="_Toc317082999"/>
      <w:bookmarkEnd w:id="201"/>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特发性和灾害性天气及高温天气时电网故障增多，为确保地区电力故障时，尽可能缩短停电时间、缩小停电范围，及时、快速、高效地排除故障，配电运检室应制定相应的应急措施。</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供电服务指挥中心服务指挥班和配电运检室抢修班在用电高峰期间应增加值班人员和应急电话，一旦接到故障报修，迅速向抢修部门传递抢修业务，抢修结束后及时做好企业回访工作，遇到10kV线路故障跳闸造成局部区域停电或变电所等电力系统故障造成大面积停电时，迅速整理停电信息，及时向部门主管领导汇报，积极与调度部门及线路维护部门联系，了解故障线路修复情况及恢复供电的时间。</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抢修部门增加抢修人员，所有抢修人员必须保持24小时通讯畅通，随时待命，配备必要的抢修材料和工器具，以最快的速度到达故障现场，在保证安全的情况下，加快抢修速度，要做到“应修必修、修必修好”，遇到超出现场抢修人员抢修能力的故障，应及时汇报，以便及时安排更强的抢修队伍</w:t>
      </w:r>
      <w:bookmarkStart w:id="202" w:name="_Toc287249844"/>
      <w:r>
        <w:rPr>
          <w:rFonts w:hint="default" w:ascii="Times New Roman" w:hAnsi="Times New Roman" w:eastAsia="方正仿宋_GBK" w:cs="Times New Roman"/>
          <w:color w:val="auto"/>
          <w:sz w:val="32"/>
          <w:szCs w:val="32"/>
          <w:highlight w:val="none"/>
        </w:rPr>
        <w:t>。</w:t>
      </w:r>
    </w:p>
    <w:p>
      <w:pPr>
        <w:pStyle w:val="7"/>
        <w:rPr>
          <w:rFonts w:hint="default" w:ascii="Times New Roman" w:hAnsi="Times New Roman" w:eastAsia="方正仿宋_GBK" w:cs="Times New Roman"/>
          <w:color w:val="auto"/>
          <w:sz w:val="32"/>
          <w:szCs w:val="32"/>
          <w:highlight w:val="none"/>
        </w:rPr>
      </w:pPr>
      <w:bookmarkStart w:id="203" w:name="_Toc317170175"/>
      <w:bookmarkStart w:id="204" w:name="_Toc12330"/>
      <w:bookmarkStart w:id="205" w:name="_Toc1935"/>
      <w:bookmarkStart w:id="206" w:name="_Toc30946"/>
      <w:bookmarkStart w:id="207" w:name="_Toc28246"/>
      <w:bookmarkStart w:id="208" w:name="_Toc28699"/>
      <w:bookmarkStart w:id="209" w:name="_Toc6873"/>
      <w:r>
        <w:rPr>
          <w:rFonts w:hint="default" w:ascii="Times New Roman" w:hAnsi="Times New Roman" w:eastAsia="方正仿宋_GBK" w:cs="Times New Roman"/>
          <w:color w:val="auto"/>
          <w:sz w:val="32"/>
          <w:szCs w:val="32"/>
          <w:highlight w:val="none"/>
        </w:rPr>
        <w:t>6.3.2  备品备件物资保障</w:t>
      </w:r>
      <w:bookmarkEnd w:id="202"/>
      <w:bookmarkEnd w:id="203"/>
      <w:bookmarkEnd w:id="204"/>
      <w:bookmarkEnd w:id="205"/>
      <w:bookmarkEnd w:id="206"/>
      <w:bookmarkEnd w:id="207"/>
      <w:bookmarkEnd w:id="208"/>
      <w:bookmarkEnd w:id="209"/>
    </w:p>
    <w:p>
      <w:pPr>
        <w:ind w:firstLine="640"/>
        <w:rPr>
          <w:rFonts w:hint="default" w:ascii="Times New Roman" w:hAnsi="Times New Roman" w:eastAsia="方正仿宋_GBK" w:cs="Times New Roman"/>
          <w:color w:val="auto"/>
          <w:spacing w:val="-6"/>
          <w:sz w:val="32"/>
          <w:szCs w:val="32"/>
          <w:highlight w:val="none"/>
        </w:rPr>
      </w:pPr>
      <w:r>
        <w:rPr>
          <w:rFonts w:hint="default" w:ascii="Times New Roman" w:hAnsi="Times New Roman" w:eastAsia="方正仿宋_GBK" w:cs="Times New Roman"/>
          <w:color w:val="auto"/>
          <w:sz w:val="32"/>
          <w:szCs w:val="32"/>
          <w:highlight w:val="none"/>
        </w:rPr>
        <w:t>设备管理部、各运行部门、抢修部门等定期分析抢修物资备品备件库存情况，根据抢修物资备品备件储备定额及时提出补库计划，需上报进行招标的物资应及时上报进行招标。物资配送中心对抢修物资的领用优先安排，简化领用手</w:t>
      </w:r>
      <w:r>
        <w:rPr>
          <w:rFonts w:hint="default" w:ascii="Times New Roman" w:hAnsi="Times New Roman" w:eastAsia="方正仿宋_GBK" w:cs="Times New Roman"/>
          <w:color w:val="auto"/>
          <w:spacing w:val="-6"/>
          <w:sz w:val="32"/>
          <w:szCs w:val="32"/>
          <w:highlight w:val="none"/>
        </w:rPr>
        <w:t>续，做到特事特办，</w:t>
      </w:r>
      <w:r>
        <w:rPr>
          <w:rFonts w:hint="eastAsia" w:ascii="Times New Roman" w:hAnsi="Times New Roman" w:eastAsia="方正仿宋_GBK" w:cs="Times New Roman"/>
          <w:color w:val="auto"/>
          <w:spacing w:val="-6"/>
          <w:sz w:val="32"/>
          <w:szCs w:val="32"/>
          <w:highlight w:val="none"/>
          <w:lang w:eastAsia="zh-CN"/>
        </w:rPr>
        <w:t>其他手续</w:t>
      </w:r>
      <w:r>
        <w:rPr>
          <w:rFonts w:hint="default" w:ascii="Times New Roman" w:hAnsi="Times New Roman" w:eastAsia="方正仿宋_GBK" w:cs="Times New Roman"/>
          <w:color w:val="auto"/>
          <w:spacing w:val="-6"/>
          <w:sz w:val="32"/>
          <w:szCs w:val="32"/>
          <w:highlight w:val="none"/>
        </w:rPr>
        <w:t>事后补办，尽量不影响抢修时间。</w:t>
      </w:r>
      <w:bookmarkStart w:id="210" w:name="_Toc287249845"/>
    </w:p>
    <w:p>
      <w:pPr>
        <w:pStyle w:val="7"/>
        <w:rPr>
          <w:rFonts w:hint="default" w:ascii="Times New Roman" w:hAnsi="Times New Roman" w:eastAsia="方正仿宋_GBK" w:cs="Times New Roman"/>
          <w:color w:val="auto"/>
          <w:sz w:val="32"/>
          <w:szCs w:val="32"/>
          <w:highlight w:val="none"/>
        </w:rPr>
      </w:pPr>
      <w:bookmarkStart w:id="211" w:name="_Toc2483"/>
      <w:bookmarkStart w:id="212" w:name="_Toc317170176"/>
      <w:bookmarkStart w:id="213" w:name="_Toc28216"/>
      <w:bookmarkStart w:id="214" w:name="_Toc11759"/>
      <w:bookmarkStart w:id="215" w:name="_Toc16936"/>
      <w:bookmarkStart w:id="216" w:name="_Toc21177"/>
      <w:bookmarkStart w:id="217" w:name="_Toc3472"/>
      <w:r>
        <w:rPr>
          <w:rFonts w:hint="default" w:ascii="Times New Roman" w:hAnsi="Times New Roman" w:eastAsia="方正仿宋_GBK" w:cs="Times New Roman"/>
          <w:color w:val="auto"/>
          <w:sz w:val="32"/>
          <w:szCs w:val="32"/>
          <w:highlight w:val="none"/>
        </w:rPr>
        <w:t>6.3.3  客户服务保障</w:t>
      </w:r>
      <w:bookmarkEnd w:id="210"/>
      <w:bookmarkEnd w:id="211"/>
      <w:bookmarkEnd w:id="212"/>
      <w:bookmarkEnd w:id="213"/>
      <w:bookmarkEnd w:id="214"/>
      <w:bookmarkEnd w:id="215"/>
      <w:bookmarkEnd w:id="216"/>
      <w:bookmarkEnd w:id="217"/>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做好人性化服务工作，协助企业共同开展电力负荷</w:t>
      </w:r>
      <w:r>
        <w:rPr>
          <w:rFonts w:hint="eastAsia" w:ascii="Times New Roman" w:hAnsi="Times New Roman" w:eastAsia="方正仿宋_GBK" w:cs="Times New Roman"/>
          <w:color w:val="auto"/>
          <w:sz w:val="32"/>
          <w:szCs w:val="32"/>
          <w:highlight w:val="none"/>
          <w:lang w:eastAsia="zh-CN"/>
        </w:rPr>
        <w:t>管理</w:t>
      </w:r>
      <w:r>
        <w:rPr>
          <w:rFonts w:hint="default" w:ascii="Times New Roman" w:hAnsi="Times New Roman" w:eastAsia="方正仿宋_GBK" w:cs="Times New Roman"/>
          <w:color w:val="auto"/>
          <w:sz w:val="32"/>
          <w:szCs w:val="32"/>
          <w:highlight w:val="none"/>
        </w:rPr>
        <w:t>。202</w:t>
      </w:r>
      <w:r>
        <w:rPr>
          <w:rFonts w:hint="default" w:ascii="Times New Roman" w:hAnsi="Times New Roman" w:eastAsia="方正仿宋_GBK" w:cs="Times New Roman"/>
          <w:color w:val="auto"/>
          <w:sz w:val="32"/>
          <w:szCs w:val="32"/>
          <w:highlight w:val="none"/>
          <w:lang w:val="en-US" w:eastAsia="zh-CN"/>
        </w:rPr>
        <w:t>5</w:t>
      </w:r>
      <w:r>
        <w:rPr>
          <w:rFonts w:hint="default" w:ascii="Times New Roman" w:hAnsi="Times New Roman" w:eastAsia="方正仿宋_GBK" w:cs="Times New Roman"/>
          <w:color w:val="auto"/>
          <w:sz w:val="32"/>
          <w:szCs w:val="32"/>
          <w:highlight w:val="none"/>
        </w:rPr>
        <w:t>年电力负荷</w:t>
      </w:r>
      <w:r>
        <w:rPr>
          <w:rFonts w:hint="eastAsia" w:ascii="Times New Roman" w:hAnsi="Times New Roman" w:eastAsia="方正仿宋_GBK" w:cs="Times New Roman"/>
          <w:color w:val="auto"/>
          <w:sz w:val="32"/>
          <w:szCs w:val="32"/>
          <w:highlight w:val="none"/>
          <w:lang w:eastAsia="zh-CN"/>
        </w:rPr>
        <w:t>管理</w:t>
      </w:r>
      <w:r>
        <w:rPr>
          <w:rFonts w:hint="default" w:ascii="Times New Roman" w:hAnsi="Times New Roman" w:eastAsia="方正仿宋_GBK" w:cs="Times New Roman"/>
          <w:color w:val="auto"/>
          <w:sz w:val="32"/>
          <w:szCs w:val="32"/>
          <w:highlight w:val="none"/>
        </w:rPr>
        <w:t>工作必须结合年度营销优质服务主题活动相关工作内容，凸显人性化服务理念，将电力负荷</w:t>
      </w:r>
      <w:r>
        <w:rPr>
          <w:rFonts w:hint="eastAsia" w:ascii="Times New Roman" w:hAnsi="Times New Roman" w:eastAsia="方正仿宋_GBK" w:cs="Times New Roman"/>
          <w:color w:val="auto"/>
          <w:sz w:val="32"/>
          <w:szCs w:val="32"/>
          <w:highlight w:val="none"/>
          <w:lang w:eastAsia="zh-CN"/>
        </w:rPr>
        <w:t>管理</w:t>
      </w:r>
      <w:r>
        <w:rPr>
          <w:rFonts w:hint="default" w:ascii="Times New Roman" w:hAnsi="Times New Roman" w:eastAsia="方正仿宋_GBK" w:cs="Times New Roman"/>
          <w:color w:val="auto"/>
          <w:sz w:val="32"/>
          <w:szCs w:val="32"/>
          <w:highlight w:val="none"/>
        </w:rPr>
        <w:t>有机融入构建和谐的供用电环境工作中去，重点做好以下几点工作：</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1.组织专业技术人员对装有电力负荷管理系统终端企业的电气负责人和电气值班人员进行专业技术培训，让企业进一步掌握电力负荷管理系统终端的运行技术。</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将排入应急预案的企业分解到人，逐户现场走访，主动协助企业编制内部应急预案，主动帮助和指导企业做好企业内部应急负荷管理工作，确保紧急情况下能够针对不同的应急事件执行相应的负荷管理方案，更灵活高效地响应负荷管理指令，确保企业在电力失衡时切实做到“快上快下”，使预案取得真正实效；与企业签订电力应急工作责任书，强化预案企业电力应急工作责任意识。</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3.加强对重要场所、重要企业和高危企业供用电设施的安全检查，加强应急电源管理，确保该类企业用电安全。</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4.加强宣传沟通，通过普及电力需求侧管理知识、宣传应急管理工作先进典型，消除部分企业的抵触情绪，有效提升全社会节约用电、电力负荷管理意识，积极争取全社会对电力负荷管理工作的理解与支持。</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5.做好重要电力客户服务保障。了解重要电力客户用电需求，引导企业生产早做安排。在迎峰度夏期间，各级供电公司应及时了解各地重点电力用户生产计划，在执行电力负荷管理预案时统筹考虑客户用电需求，指导重要电力客户实施避峰、错峰生产，最大限度地将错峰用电对企业生产的影响降到最低。</w:t>
      </w:r>
    </w:p>
    <w:p>
      <w:pPr>
        <w:pStyle w:val="7"/>
        <w:rPr>
          <w:rFonts w:hint="default" w:ascii="Times New Roman" w:hAnsi="Times New Roman" w:eastAsia="方正仿宋_GBK" w:cs="Times New Roman"/>
          <w:color w:val="auto"/>
          <w:sz w:val="32"/>
          <w:szCs w:val="32"/>
          <w:highlight w:val="none"/>
        </w:rPr>
      </w:pPr>
      <w:bookmarkStart w:id="218" w:name="_Toc7999"/>
      <w:bookmarkStart w:id="219" w:name="_Toc698"/>
      <w:bookmarkStart w:id="220" w:name="_Toc30993"/>
      <w:bookmarkStart w:id="221" w:name="_Toc25552"/>
      <w:bookmarkStart w:id="222" w:name="_Toc20168"/>
      <w:bookmarkStart w:id="223" w:name="_Toc317170177"/>
      <w:bookmarkStart w:id="224" w:name="_Toc27471"/>
      <w:r>
        <w:rPr>
          <w:rFonts w:hint="default" w:ascii="Times New Roman" w:hAnsi="Times New Roman" w:eastAsia="方正仿宋_GBK" w:cs="Times New Roman"/>
          <w:color w:val="auto"/>
          <w:sz w:val="32"/>
          <w:szCs w:val="32"/>
          <w:highlight w:val="none"/>
        </w:rPr>
        <w:t>6.3.4  信息发布保障</w:t>
      </w:r>
      <w:bookmarkEnd w:id="218"/>
      <w:bookmarkEnd w:id="219"/>
      <w:bookmarkEnd w:id="220"/>
      <w:bookmarkEnd w:id="221"/>
      <w:bookmarkEnd w:id="222"/>
      <w:bookmarkEnd w:id="223"/>
      <w:bookmarkEnd w:id="224"/>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“公平、公正、公开”合理地实施电力负荷</w:t>
      </w:r>
      <w:r>
        <w:rPr>
          <w:rFonts w:hint="eastAsia" w:ascii="Times New Roman" w:hAnsi="Times New Roman" w:eastAsia="方正仿宋_GBK" w:cs="Times New Roman"/>
          <w:color w:val="auto"/>
          <w:sz w:val="32"/>
          <w:szCs w:val="32"/>
          <w:highlight w:val="none"/>
          <w:lang w:eastAsia="zh-CN"/>
        </w:rPr>
        <w:t>管理</w:t>
      </w:r>
      <w:r>
        <w:rPr>
          <w:rFonts w:hint="default" w:ascii="Times New Roman" w:hAnsi="Times New Roman" w:eastAsia="方正仿宋_GBK" w:cs="Times New Roman"/>
          <w:color w:val="auto"/>
          <w:sz w:val="32"/>
          <w:szCs w:val="32"/>
          <w:highlight w:val="none"/>
        </w:rPr>
        <w:t>措施，建立信息交互平台，适时通过新闻发布会、座谈会等多种形式将电力供需情况、电力负荷管理预案向社会发布。同时，通过电力应急工作告知书将202</w:t>
      </w:r>
      <w:r>
        <w:rPr>
          <w:rFonts w:hint="default" w:ascii="Times New Roman" w:hAnsi="Times New Roman" w:eastAsia="方正仿宋_GBK" w:cs="Times New Roman"/>
          <w:color w:val="auto"/>
          <w:sz w:val="32"/>
          <w:szCs w:val="32"/>
          <w:highlight w:val="none"/>
          <w:lang w:val="en-US" w:eastAsia="zh-CN"/>
        </w:rPr>
        <w:t>5</w:t>
      </w:r>
      <w:r>
        <w:rPr>
          <w:rFonts w:hint="default" w:ascii="Times New Roman" w:hAnsi="Times New Roman" w:eastAsia="方正仿宋_GBK" w:cs="Times New Roman"/>
          <w:color w:val="auto"/>
          <w:sz w:val="32"/>
          <w:szCs w:val="32"/>
          <w:highlight w:val="none"/>
        </w:rPr>
        <w:t>年电力负荷管理准备情况及要求告知相关企业。</w:t>
      </w:r>
    </w:p>
    <w:p>
      <w:pPr>
        <w:pStyle w:val="5"/>
        <w:ind w:firstLine="640"/>
        <w:rPr>
          <w:rFonts w:hint="default" w:ascii="Times New Roman" w:hAnsi="Times New Roman" w:eastAsia="方正仿宋_GBK" w:cs="Times New Roman"/>
          <w:color w:val="auto"/>
          <w:sz w:val="32"/>
          <w:szCs w:val="32"/>
          <w:highlight w:val="none"/>
        </w:rPr>
      </w:pPr>
      <w:bookmarkStart w:id="225" w:name="_Toc27778"/>
      <w:bookmarkStart w:id="226" w:name="_Toc6038"/>
      <w:bookmarkStart w:id="227" w:name="_Toc317170178"/>
      <w:bookmarkStart w:id="228" w:name="_Toc7666"/>
      <w:bookmarkStart w:id="229" w:name="_Toc27016"/>
      <w:bookmarkStart w:id="230" w:name="_Toc10916"/>
      <w:bookmarkStart w:id="231" w:name="_Toc25631"/>
      <w:bookmarkStart w:id="232" w:name="_Toc13946"/>
      <w:r>
        <w:rPr>
          <w:rFonts w:hint="default" w:ascii="Times New Roman" w:hAnsi="Times New Roman" w:eastAsia="方正仿宋_GBK" w:cs="Times New Roman"/>
          <w:color w:val="auto"/>
          <w:sz w:val="32"/>
          <w:szCs w:val="32"/>
          <w:highlight w:val="none"/>
        </w:rPr>
        <w:t>6.4  督察方案</w:t>
      </w:r>
      <w:bookmarkEnd w:id="225"/>
      <w:bookmarkEnd w:id="226"/>
      <w:bookmarkEnd w:id="227"/>
      <w:bookmarkEnd w:id="228"/>
      <w:bookmarkEnd w:id="229"/>
      <w:bookmarkEnd w:id="230"/>
      <w:bookmarkEnd w:id="231"/>
      <w:bookmarkEnd w:id="232"/>
    </w:p>
    <w:p>
      <w:pPr>
        <w:pStyle w:val="7"/>
        <w:rPr>
          <w:rFonts w:hint="default" w:ascii="Times New Roman" w:hAnsi="Times New Roman" w:eastAsia="方正仿宋_GBK" w:cs="Times New Roman"/>
          <w:color w:val="auto"/>
          <w:sz w:val="32"/>
          <w:szCs w:val="32"/>
          <w:highlight w:val="none"/>
        </w:rPr>
      </w:pPr>
      <w:bookmarkStart w:id="233" w:name="_Toc4007"/>
      <w:bookmarkStart w:id="234" w:name="_Toc21238"/>
      <w:bookmarkStart w:id="235" w:name="_Toc3773"/>
      <w:bookmarkStart w:id="236" w:name="_Toc9739"/>
      <w:bookmarkStart w:id="237" w:name="_Toc317170179"/>
      <w:bookmarkStart w:id="238" w:name="_Toc9929"/>
      <w:bookmarkStart w:id="239" w:name="_Toc22869"/>
      <w:r>
        <w:rPr>
          <w:rFonts w:hint="default" w:ascii="Times New Roman" w:hAnsi="Times New Roman" w:eastAsia="方正仿宋_GBK" w:cs="Times New Roman"/>
          <w:color w:val="auto"/>
          <w:sz w:val="32"/>
          <w:szCs w:val="32"/>
          <w:highlight w:val="none"/>
        </w:rPr>
        <w:t>6.4.1  督察目的</w:t>
      </w:r>
      <w:bookmarkEnd w:id="233"/>
      <w:bookmarkEnd w:id="234"/>
      <w:bookmarkEnd w:id="235"/>
      <w:bookmarkEnd w:id="236"/>
      <w:bookmarkEnd w:id="237"/>
      <w:bookmarkEnd w:id="238"/>
      <w:bookmarkEnd w:id="239"/>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为保证地区202</w:t>
      </w:r>
      <w:r>
        <w:rPr>
          <w:rFonts w:hint="default" w:ascii="Times New Roman" w:hAnsi="Times New Roman" w:eastAsia="方正仿宋_GBK" w:cs="Times New Roman"/>
          <w:color w:val="auto"/>
          <w:sz w:val="32"/>
          <w:szCs w:val="32"/>
          <w:highlight w:val="none"/>
          <w:lang w:val="en-US" w:eastAsia="zh-CN"/>
        </w:rPr>
        <w:t>5</w:t>
      </w:r>
      <w:r>
        <w:rPr>
          <w:rFonts w:hint="default" w:ascii="Times New Roman" w:hAnsi="Times New Roman" w:eastAsia="方正仿宋_GBK" w:cs="Times New Roman"/>
          <w:color w:val="auto"/>
          <w:sz w:val="32"/>
          <w:szCs w:val="32"/>
          <w:highlight w:val="none"/>
        </w:rPr>
        <w:t>年电力负荷管理工作的正常开展，及时对应急负荷管理指标进行督察处理，促使电力负荷管理预案用户有效执行电力应急工作要求，在电力供应失衡时快速将负荷控制到位，在电力缺口消除时立即释放用电负荷，保证地区电网运行安全以及全社会供电秩序稳定，电力最大限度地</w:t>
      </w:r>
      <w:r>
        <w:rPr>
          <w:rFonts w:hint="eastAsia" w:ascii="Times New Roman" w:hAnsi="Times New Roman" w:eastAsia="方正仿宋_GBK" w:cs="Times New Roman"/>
          <w:color w:val="auto"/>
          <w:sz w:val="32"/>
          <w:szCs w:val="32"/>
          <w:highlight w:val="none"/>
          <w:lang w:eastAsia="zh-CN"/>
        </w:rPr>
        <w:t>满足</w:t>
      </w:r>
      <w:r>
        <w:rPr>
          <w:rFonts w:hint="default" w:ascii="Times New Roman" w:hAnsi="Times New Roman" w:eastAsia="方正仿宋_GBK" w:cs="Times New Roman"/>
          <w:color w:val="auto"/>
          <w:sz w:val="32"/>
          <w:szCs w:val="32"/>
          <w:highlight w:val="none"/>
        </w:rPr>
        <w:t>经济发展和人民生活的用电需求，在电力负荷管理预案启动后，将组织</w:t>
      </w:r>
      <w:r>
        <w:rPr>
          <w:rFonts w:hint="eastAsia" w:ascii="Times New Roman" w:hAnsi="Times New Roman" w:eastAsia="方正仿宋_GBK" w:cs="Times New Roman"/>
          <w:color w:val="auto"/>
          <w:sz w:val="32"/>
          <w:szCs w:val="32"/>
          <w:highlight w:val="none"/>
          <w:lang w:eastAsia="zh-CN"/>
        </w:rPr>
        <w:t>对全市电力</w:t>
      </w:r>
      <w:r>
        <w:rPr>
          <w:rFonts w:hint="default" w:ascii="Times New Roman" w:hAnsi="Times New Roman" w:eastAsia="方正仿宋_GBK" w:cs="Times New Roman"/>
          <w:color w:val="auto"/>
          <w:sz w:val="32"/>
          <w:szCs w:val="32"/>
          <w:highlight w:val="none"/>
        </w:rPr>
        <w:t>应急管理工作进行督察。</w:t>
      </w:r>
    </w:p>
    <w:p>
      <w:pPr>
        <w:pStyle w:val="7"/>
        <w:rPr>
          <w:rFonts w:hint="default" w:ascii="Times New Roman" w:hAnsi="Times New Roman" w:eastAsia="方正仿宋_GBK" w:cs="Times New Roman"/>
          <w:color w:val="auto"/>
          <w:sz w:val="32"/>
          <w:szCs w:val="32"/>
          <w:highlight w:val="none"/>
        </w:rPr>
      </w:pPr>
      <w:bookmarkStart w:id="240" w:name="_Toc2176"/>
      <w:bookmarkStart w:id="241" w:name="_Toc18847"/>
      <w:bookmarkStart w:id="242" w:name="_Toc18550"/>
      <w:bookmarkStart w:id="243" w:name="_Toc14002"/>
      <w:bookmarkStart w:id="244" w:name="_Toc31227"/>
      <w:bookmarkStart w:id="245" w:name="_Toc16008"/>
      <w:bookmarkStart w:id="246" w:name="_Toc317170180"/>
      <w:r>
        <w:rPr>
          <w:rFonts w:hint="default" w:ascii="Times New Roman" w:hAnsi="Times New Roman" w:eastAsia="方正仿宋_GBK" w:cs="Times New Roman"/>
          <w:color w:val="auto"/>
          <w:sz w:val="32"/>
          <w:szCs w:val="32"/>
          <w:highlight w:val="none"/>
        </w:rPr>
        <w:t>6.4.2  督察组织机构与工作职责</w:t>
      </w:r>
      <w:bookmarkEnd w:id="240"/>
      <w:bookmarkEnd w:id="241"/>
      <w:bookmarkEnd w:id="242"/>
      <w:bookmarkEnd w:id="243"/>
      <w:bookmarkEnd w:id="244"/>
      <w:bookmarkEnd w:id="245"/>
      <w:bookmarkEnd w:id="246"/>
    </w:p>
    <w:p>
      <w:pPr>
        <w:pStyle w:val="7"/>
        <w:rPr>
          <w:rFonts w:hint="default" w:ascii="Times New Roman" w:hAnsi="Times New Roman" w:eastAsia="方正仿宋_GBK" w:cs="Times New Roman"/>
          <w:color w:val="auto"/>
          <w:sz w:val="32"/>
          <w:szCs w:val="32"/>
          <w:highlight w:val="none"/>
        </w:rPr>
      </w:pPr>
      <w:bookmarkStart w:id="247" w:name="_Toc19139"/>
      <w:bookmarkStart w:id="248" w:name="_Toc4322"/>
      <w:bookmarkStart w:id="249" w:name="_Toc317170181"/>
      <w:bookmarkStart w:id="250" w:name="_Toc32168"/>
      <w:bookmarkStart w:id="251" w:name="_Toc24496"/>
      <w:bookmarkStart w:id="252" w:name="_Toc1448"/>
      <w:bookmarkStart w:id="253" w:name="_Toc19770"/>
      <w:r>
        <w:rPr>
          <w:rFonts w:hint="default" w:ascii="Times New Roman" w:hAnsi="Times New Roman" w:eastAsia="方正仿宋_GBK" w:cs="Times New Roman"/>
          <w:color w:val="auto"/>
          <w:sz w:val="32"/>
          <w:szCs w:val="32"/>
          <w:highlight w:val="none"/>
        </w:rPr>
        <w:t>6.4.2.1  组织机构</w:t>
      </w:r>
      <w:bookmarkEnd w:id="247"/>
      <w:bookmarkEnd w:id="248"/>
      <w:bookmarkEnd w:id="249"/>
      <w:bookmarkEnd w:id="250"/>
      <w:bookmarkEnd w:id="251"/>
      <w:bookmarkEnd w:id="252"/>
      <w:bookmarkEnd w:id="253"/>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成立电力负荷管理督察组，成员如下：</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组  长：潘裕晓</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副组长：陈  成</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成  员：市发改委、各级县、区发改（经发）部门、供电公司市场营销部、</w:t>
      </w:r>
      <w:r>
        <w:rPr>
          <w:rFonts w:hint="default" w:ascii="Times New Roman" w:hAnsi="Times New Roman" w:eastAsia="方正仿宋_GBK" w:cs="Times New Roman"/>
          <w:color w:val="auto"/>
          <w:sz w:val="32"/>
          <w:szCs w:val="32"/>
          <w:highlight w:val="none"/>
          <w:lang w:eastAsia="zh-CN"/>
        </w:rPr>
        <w:t>营销服务中心</w:t>
      </w:r>
      <w:r>
        <w:rPr>
          <w:rFonts w:hint="default" w:ascii="Times New Roman" w:hAnsi="Times New Roman" w:eastAsia="方正仿宋_GBK" w:cs="Times New Roman"/>
          <w:color w:val="auto"/>
          <w:sz w:val="32"/>
          <w:szCs w:val="32"/>
          <w:highlight w:val="none"/>
        </w:rPr>
        <w:t>、供电服务指挥中心、调度控制中心、各供电所相关人员。</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督察组主要负责电力负荷管理工作执行情况的检查和违反电力负荷管理预案相关企业的处理。</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由市发改委、县、区发改部门、供电公司等共同组织督察队伍，负责协调本地区电力负荷管理工作，对实施控制负荷情况进行督察。供电公司相关用电检查人员和供电所人员负责本区域内电力负荷</w:t>
      </w:r>
      <w:r>
        <w:rPr>
          <w:rFonts w:hint="eastAsia" w:ascii="Times New Roman" w:hAnsi="Times New Roman" w:eastAsia="方正仿宋_GBK" w:cs="Times New Roman"/>
          <w:color w:val="auto"/>
          <w:sz w:val="32"/>
          <w:szCs w:val="32"/>
          <w:highlight w:val="none"/>
          <w:lang w:eastAsia="zh-CN"/>
        </w:rPr>
        <w:t>管理</w:t>
      </w:r>
      <w:r>
        <w:rPr>
          <w:rFonts w:hint="default" w:ascii="Times New Roman" w:hAnsi="Times New Roman" w:eastAsia="方正仿宋_GBK" w:cs="Times New Roman"/>
          <w:color w:val="auto"/>
          <w:sz w:val="32"/>
          <w:szCs w:val="32"/>
          <w:highlight w:val="none"/>
        </w:rPr>
        <w:t>具体工作，根据控制负荷操作方案和实施方案对所管区域的控制负荷单位进行检查和督促。</w:t>
      </w:r>
    </w:p>
    <w:p>
      <w:pPr>
        <w:pStyle w:val="7"/>
        <w:rPr>
          <w:rFonts w:hint="default" w:ascii="Times New Roman" w:hAnsi="Times New Roman" w:eastAsia="方正仿宋_GBK" w:cs="Times New Roman"/>
          <w:color w:val="auto"/>
          <w:sz w:val="32"/>
          <w:szCs w:val="32"/>
          <w:highlight w:val="none"/>
        </w:rPr>
      </w:pPr>
      <w:bookmarkStart w:id="254" w:name="_Toc4506"/>
      <w:bookmarkStart w:id="255" w:name="_Toc317170182"/>
      <w:bookmarkStart w:id="256" w:name="_Toc10324"/>
      <w:bookmarkStart w:id="257" w:name="_Toc31861"/>
      <w:bookmarkStart w:id="258" w:name="_Toc12973"/>
      <w:bookmarkStart w:id="259" w:name="_Toc8960"/>
      <w:bookmarkStart w:id="260" w:name="_Toc11188"/>
      <w:r>
        <w:rPr>
          <w:rFonts w:hint="default" w:ascii="Times New Roman" w:hAnsi="Times New Roman" w:eastAsia="方正仿宋_GBK" w:cs="Times New Roman"/>
          <w:color w:val="auto"/>
          <w:sz w:val="32"/>
          <w:szCs w:val="32"/>
          <w:highlight w:val="none"/>
        </w:rPr>
        <w:t>6.4.2.2  工作职责</w:t>
      </w:r>
      <w:bookmarkEnd w:id="254"/>
      <w:bookmarkEnd w:id="255"/>
      <w:bookmarkEnd w:id="256"/>
      <w:bookmarkEnd w:id="257"/>
      <w:bookmarkEnd w:id="258"/>
      <w:bookmarkEnd w:id="259"/>
      <w:bookmarkEnd w:id="260"/>
    </w:p>
    <w:p>
      <w:pPr>
        <w:ind w:firstLine="640"/>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1.督察组工作职责</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（1）督察小组人员在本地区电力应急组织机构的领导下具体负责实施对电力应急控制负荷指令执行情况的检查监督。</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（2）熟悉电力负荷管理预案及工作流程。</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（3）熟悉巡视检查区域的企业</w:t>
      </w:r>
      <w:r>
        <w:rPr>
          <w:rFonts w:hint="default" w:ascii="Times New Roman" w:hAnsi="Times New Roman" w:eastAsia="方正仿宋_GBK" w:cs="Times New Roman"/>
          <w:color w:val="auto"/>
          <w:sz w:val="32"/>
          <w:szCs w:val="32"/>
          <w:highlight w:val="none"/>
          <w:lang w:val="en-US" w:eastAsia="zh-CN"/>
        </w:rPr>
        <w:t>执行</w:t>
      </w:r>
      <w:r>
        <w:rPr>
          <w:rFonts w:hint="default" w:ascii="Times New Roman" w:hAnsi="Times New Roman" w:eastAsia="方正仿宋_GBK" w:cs="Times New Roman"/>
          <w:color w:val="auto"/>
          <w:sz w:val="32"/>
          <w:szCs w:val="32"/>
          <w:highlight w:val="none"/>
        </w:rPr>
        <w:t>情况。</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（4）在得到企业不执行</w:t>
      </w:r>
      <w:r>
        <w:rPr>
          <w:rFonts w:hint="default" w:ascii="Times New Roman" w:hAnsi="Times New Roman" w:eastAsia="方正仿宋_GBK" w:cs="Times New Roman"/>
          <w:color w:val="auto"/>
          <w:sz w:val="32"/>
          <w:szCs w:val="32"/>
          <w:highlight w:val="none"/>
          <w:lang w:val="en-US" w:eastAsia="zh-CN"/>
        </w:rPr>
        <w:t>错峰</w:t>
      </w:r>
      <w:r>
        <w:rPr>
          <w:rFonts w:hint="default" w:ascii="Times New Roman" w:hAnsi="Times New Roman" w:eastAsia="方正仿宋_GBK" w:cs="Times New Roman"/>
          <w:color w:val="auto"/>
          <w:sz w:val="32"/>
          <w:szCs w:val="32"/>
          <w:highlight w:val="none"/>
        </w:rPr>
        <w:t>操作情况时应立即到现场处理，处理结果报本地区电力负荷管理工作组织机构。</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（5）经电力负荷管理工作组织机构授权对企业可进行现场操作控制负荷。</w:t>
      </w:r>
    </w:p>
    <w:p>
      <w:pPr>
        <w:ind w:firstLine="640"/>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2.督察小组成员的资格</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（1）经过必要的培训教育，熟悉有关政策。</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（2）具备现场用电操作技能和资格，掌握相应的操作技能。</w:t>
      </w:r>
    </w:p>
    <w:p>
      <w:pPr>
        <w:ind w:firstLine="640"/>
        <w:rPr>
          <w:rFonts w:hint="default" w:ascii="Times New Roman" w:hAnsi="Times New Roman" w:eastAsia="方正仿宋_GBK" w:cs="Times New Roman"/>
          <w:color w:val="auto"/>
          <w:spacing w:val="-6"/>
          <w:sz w:val="32"/>
          <w:szCs w:val="32"/>
          <w:highlight w:val="none"/>
        </w:rPr>
      </w:pPr>
      <w:r>
        <w:rPr>
          <w:rFonts w:hint="default" w:ascii="Times New Roman" w:hAnsi="Times New Roman" w:eastAsia="方正仿宋_GBK" w:cs="Times New Roman"/>
          <w:color w:val="auto"/>
          <w:spacing w:val="-6"/>
          <w:sz w:val="32"/>
          <w:szCs w:val="32"/>
          <w:highlight w:val="none"/>
        </w:rPr>
        <w:t>（3）必须取得电力负荷管理工作领导小组办公室的授权。</w:t>
      </w:r>
      <w:bookmarkStart w:id="261" w:name="_Toc317065507"/>
    </w:p>
    <w:p>
      <w:pPr>
        <w:pStyle w:val="7"/>
        <w:rPr>
          <w:rFonts w:hint="default" w:ascii="Times New Roman" w:hAnsi="Times New Roman" w:eastAsia="方正仿宋_GBK" w:cs="Times New Roman"/>
          <w:color w:val="auto"/>
          <w:sz w:val="32"/>
          <w:szCs w:val="32"/>
          <w:highlight w:val="none"/>
        </w:rPr>
      </w:pPr>
      <w:bookmarkStart w:id="262" w:name="_Toc11576"/>
      <w:bookmarkStart w:id="263" w:name="_Toc26609"/>
      <w:bookmarkStart w:id="264" w:name="_Toc11802"/>
      <w:bookmarkStart w:id="265" w:name="_Toc6791"/>
      <w:bookmarkStart w:id="266" w:name="_Toc30411"/>
      <w:bookmarkStart w:id="267" w:name="_Toc317170183"/>
      <w:bookmarkStart w:id="268" w:name="_Toc4729"/>
      <w:r>
        <w:rPr>
          <w:rFonts w:hint="default" w:ascii="Times New Roman" w:hAnsi="Times New Roman" w:eastAsia="方正仿宋_GBK" w:cs="Times New Roman"/>
          <w:color w:val="auto"/>
          <w:sz w:val="32"/>
          <w:szCs w:val="32"/>
          <w:highlight w:val="none"/>
        </w:rPr>
        <w:t>6.4.3  督察流程</w:t>
      </w:r>
      <w:bookmarkEnd w:id="261"/>
      <w:bookmarkEnd w:id="262"/>
      <w:bookmarkEnd w:id="263"/>
      <w:bookmarkEnd w:id="264"/>
      <w:bookmarkEnd w:id="265"/>
      <w:bookmarkEnd w:id="266"/>
      <w:bookmarkEnd w:id="267"/>
      <w:bookmarkEnd w:id="268"/>
    </w:p>
    <w:p>
      <w:pPr>
        <w:ind w:firstLine="640"/>
        <w:jc w:val="center"/>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drawing>
          <wp:anchor distT="0" distB="0" distL="114300" distR="114300" simplePos="0" relativeHeight="251661312" behindDoc="0" locked="0" layoutInCell="1" allowOverlap="1">
            <wp:simplePos x="0" y="0"/>
            <wp:positionH relativeFrom="column">
              <wp:posOffset>19050</wp:posOffset>
            </wp:positionH>
            <wp:positionV relativeFrom="paragraph">
              <wp:posOffset>466725</wp:posOffset>
            </wp:positionV>
            <wp:extent cx="5632450" cy="5247005"/>
            <wp:effectExtent l="0" t="0" r="6350" b="10795"/>
            <wp:wrapSquare wrapText="bothSides"/>
            <wp:docPr id="3" name="图片 3"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无标题"/>
                    <pic:cNvPicPr>
                      <a:picLocks noChangeAspect="1"/>
                    </pic:cNvPicPr>
                  </pic:nvPicPr>
                  <pic:blipFill>
                    <a:blip r:embed="rId20"/>
                    <a:stretch>
                      <a:fillRect/>
                    </a:stretch>
                  </pic:blipFill>
                  <pic:spPr>
                    <a:xfrm>
                      <a:off x="0" y="0"/>
                      <a:ext cx="5632450" cy="5247005"/>
                    </a:xfrm>
                    <a:prstGeom prst="rect">
                      <a:avLst/>
                    </a:prstGeom>
                    <a:noFill/>
                    <a:ln>
                      <a:noFill/>
                    </a:ln>
                  </pic:spPr>
                </pic:pic>
              </a:graphicData>
            </a:graphic>
          </wp:anchor>
        </w:drawing>
      </w:r>
      <w:r>
        <w:rPr>
          <w:rFonts w:hint="default" w:ascii="Times New Roman" w:hAnsi="Times New Roman" w:eastAsia="方正仿宋_GBK" w:cs="Times New Roman"/>
          <w:b/>
          <w:bCs/>
          <w:color w:val="auto"/>
          <w:sz w:val="32"/>
          <w:szCs w:val="32"/>
          <w:highlight w:val="none"/>
        </w:rPr>
        <w:t>电力负荷管理督察流程图</w:t>
      </w:r>
    </w:p>
    <w:p>
      <w:pPr>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流程说明：</w:t>
      </w:r>
    </w:p>
    <w:p>
      <w:pPr>
        <w:pageBreakBefore w:val="0"/>
        <w:widowControl w:val="0"/>
        <w:kinsoku/>
        <w:wordWrap/>
        <w:overflowPunct/>
        <w:topLinePunct w:val="0"/>
        <w:autoSpaceDE/>
        <w:autoSpaceDN/>
        <w:bidi w:val="0"/>
        <w:adjustRightInd/>
        <w:snapToGrid/>
        <w:spacing w:line="49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1.准备督察；</w:t>
      </w:r>
    </w:p>
    <w:p>
      <w:pPr>
        <w:keepNext/>
        <w:keepLines w:val="0"/>
        <w:pageBreakBefore w:val="0"/>
        <w:widowControl w:val="0"/>
        <w:kinsoku/>
        <w:wordWrap/>
        <w:overflowPunct/>
        <w:topLinePunct w:val="0"/>
        <w:autoSpaceDE/>
        <w:autoSpaceDN/>
        <w:bidi w:val="0"/>
        <w:adjustRightInd/>
        <w:snapToGrid/>
        <w:spacing w:line="48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2.督察电力负荷管理监控内容（错峰方案在负控</w:t>
      </w:r>
      <w:r>
        <w:rPr>
          <w:rFonts w:hint="default" w:ascii="Times New Roman" w:hAnsi="Times New Roman" w:eastAsia="方正仿宋_GBK" w:cs="Times New Roman"/>
          <w:color w:val="auto"/>
          <w:sz w:val="32"/>
          <w:szCs w:val="32"/>
          <w:highlight w:val="none"/>
          <w:lang w:val="en-US" w:eastAsia="zh-CN"/>
        </w:rPr>
        <w:t>负荷管理</w:t>
      </w:r>
      <w:r>
        <w:rPr>
          <w:rFonts w:hint="default" w:ascii="Times New Roman" w:hAnsi="Times New Roman" w:eastAsia="方正仿宋_GBK" w:cs="Times New Roman"/>
          <w:color w:val="auto"/>
          <w:sz w:val="32"/>
          <w:szCs w:val="32"/>
          <w:highlight w:val="none"/>
        </w:rPr>
        <w:t>系统内的完成；控制群组的编制准确；群组用户资料完整、准确；应急值班、抢修制度齐备；电力负荷管理督查人员、负荷管理中心人员熟悉方案）；督察定点督察人员内容（是否明确各自定点哪个客户；是否掌握与客户联</w:t>
      </w:r>
      <w:r>
        <w:rPr>
          <w:rFonts w:hint="eastAsia" w:ascii="Times New Roman" w:hAnsi="Times New Roman" w:eastAsia="方正仿宋_GBK" w:cs="Times New Roman"/>
          <w:color w:val="auto"/>
          <w:sz w:val="32"/>
          <w:szCs w:val="32"/>
          <w:highlight w:val="none"/>
          <w:lang w:eastAsia="zh-CN"/>
        </w:rPr>
        <w:t>系的</w:t>
      </w:r>
      <w:r>
        <w:rPr>
          <w:rFonts w:hint="default" w:ascii="Times New Roman" w:hAnsi="Times New Roman" w:eastAsia="方正仿宋_GBK" w:cs="Times New Roman"/>
          <w:color w:val="auto"/>
          <w:sz w:val="32"/>
          <w:szCs w:val="32"/>
          <w:highlight w:val="none"/>
        </w:rPr>
        <w:t>沟通渠道；是否能及时了解客户用电状况；用于联系的通讯工具是否保持畅通）；督察关键客户群客户内容（是否了解当前电力紧张的局势；是否已根据电力负荷管理要求制定内部应急预案；是否已就内部预案落实责任人、执行人；是否了解与各自的定点联系人及联系方式）。</w:t>
      </w:r>
    </w:p>
    <w:p>
      <w:pPr>
        <w:keepNext/>
        <w:keepLines w:val="0"/>
        <w:pageBreakBefore w:val="0"/>
        <w:widowControl w:val="0"/>
        <w:kinsoku/>
        <w:wordWrap/>
        <w:overflowPunct/>
        <w:topLinePunct w:val="0"/>
        <w:autoSpaceDE/>
        <w:autoSpaceDN/>
        <w:bidi w:val="0"/>
        <w:adjustRightInd/>
        <w:snapToGrid/>
        <w:spacing w:line="48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3.汇总判定结果，如果不满足，则要求整改完善；</w:t>
      </w:r>
    </w:p>
    <w:p>
      <w:pPr>
        <w:keepNext/>
        <w:keepLines w:val="0"/>
        <w:pageBreakBefore w:val="0"/>
        <w:widowControl w:val="0"/>
        <w:kinsoku/>
        <w:wordWrap/>
        <w:overflowPunct/>
        <w:topLinePunct w:val="0"/>
        <w:autoSpaceDE/>
        <w:autoSpaceDN/>
        <w:bidi w:val="0"/>
        <w:adjustRightInd/>
        <w:snapToGrid/>
        <w:spacing w:line="48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4.汇总督察结果；</w:t>
      </w:r>
    </w:p>
    <w:p>
      <w:pPr>
        <w:keepNext/>
        <w:keepLines w:val="0"/>
        <w:pageBreakBefore w:val="0"/>
        <w:widowControl w:val="0"/>
        <w:kinsoku/>
        <w:wordWrap/>
        <w:overflowPunct/>
        <w:topLinePunct w:val="0"/>
        <w:autoSpaceDE/>
        <w:autoSpaceDN/>
        <w:bidi w:val="0"/>
        <w:adjustRightInd/>
        <w:snapToGrid/>
        <w:spacing w:line="48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5.接收汇报。</w:t>
      </w:r>
    </w:p>
    <w:p>
      <w:pPr>
        <w:pStyle w:val="7"/>
        <w:keepNext/>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方正仿宋_GBK" w:cs="Times New Roman"/>
          <w:color w:val="auto"/>
          <w:sz w:val="32"/>
          <w:szCs w:val="32"/>
          <w:highlight w:val="none"/>
        </w:rPr>
      </w:pPr>
      <w:bookmarkStart w:id="269" w:name="_Toc15951"/>
      <w:bookmarkStart w:id="270" w:name="_Toc6688"/>
      <w:bookmarkStart w:id="271" w:name="_Toc317170184"/>
      <w:bookmarkStart w:id="272" w:name="_Toc11872"/>
      <w:bookmarkStart w:id="273" w:name="_Toc5234"/>
      <w:bookmarkStart w:id="274" w:name="_Toc32155"/>
      <w:bookmarkStart w:id="275" w:name="_Toc19278"/>
      <w:r>
        <w:rPr>
          <w:rFonts w:hint="default" w:ascii="Times New Roman" w:hAnsi="Times New Roman" w:eastAsia="方正仿宋_GBK" w:cs="Times New Roman"/>
          <w:color w:val="auto"/>
          <w:sz w:val="32"/>
          <w:szCs w:val="32"/>
          <w:highlight w:val="none"/>
        </w:rPr>
        <w:t>6.4.4  督察制度</w:t>
      </w:r>
      <w:bookmarkEnd w:id="269"/>
      <w:bookmarkEnd w:id="270"/>
      <w:bookmarkEnd w:id="271"/>
      <w:bookmarkEnd w:id="272"/>
      <w:bookmarkEnd w:id="273"/>
      <w:bookmarkEnd w:id="274"/>
      <w:bookmarkEnd w:id="275"/>
    </w:p>
    <w:p>
      <w:pPr>
        <w:keepNext/>
        <w:keepLines w:val="0"/>
        <w:pageBreakBefore w:val="0"/>
        <w:widowControl w:val="0"/>
        <w:kinsoku/>
        <w:wordWrap/>
        <w:overflowPunct/>
        <w:topLinePunct w:val="0"/>
        <w:autoSpaceDE/>
        <w:autoSpaceDN/>
        <w:bidi w:val="0"/>
        <w:adjustRightInd/>
        <w:snapToGrid/>
        <w:spacing w:line="48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1.建立24小时值班制度，在实施电力负荷管理工作期间，督察人员必须24小时值班，供电公司市场营销部门领导必须亲自带班。</w:t>
      </w:r>
    </w:p>
    <w:p>
      <w:pPr>
        <w:keepNext/>
        <w:keepLines w:val="0"/>
        <w:pageBreakBefore w:val="0"/>
        <w:widowControl w:val="0"/>
        <w:kinsoku/>
        <w:wordWrap/>
        <w:overflowPunct/>
        <w:topLinePunct w:val="0"/>
        <w:autoSpaceDE/>
        <w:autoSpaceDN/>
        <w:bidi w:val="0"/>
        <w:adjustRightInd/>
        <w:snapToGrid/>
        <w:spacing w:line="48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2.督察人员对实施电力负荷管理的企业进行巡视督察时应获得电力保供管理部门的授权。</w:t>
      </w:r>
    </w:p>
    <w:p>
      <w:pPr>
        <w:keepNext/>
        <w:keepLines w:val="0"/>
        <w:pageBreakBefore w:val="0"/>
        <w:widowControl w:val="0"/>
        <w:kinsoku/>
        <w:wordWrap/>
        <w:overflowPunct/>
        <w:topLinePunct w:val="0"/>
        <w:autoSpaceDE/>
        <w:autoSpaceDN/>
        <w:bidi w:val="0"/>
        <w:adjustRightInd/>
        <w:snapToGrid/>
        <w:spacing w:line="48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3.督察人员接受调度员、负荷管理运行人员的汇报。</w:t>
      </w:r>
    </w:p>
    <w:p>
      <w:pPr>
        <w:keepNext/>
        <w:keepLines w:val="0"/>
        <w:pageBreakBefore w:val="0"/>
        <w:widowControl w:val="0"/>
        <w:kinsoku/>
        <w:wordWrap/>
        <w:overflowPunct/>
        <w:topLinePunct w:val="0"/>
        <w:autoSpaceDE/>
        <w:autoSpaceDN/>
        <w:bidi w:val="0"/>
        <w:adjustRightInd/>
        <w:snapToGrid/>
        <w:spacing w:line="48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4.督察组对不执行控制负荷错避峰的企业，应立即进行现场处理，如该单位拒不执行控制负荷预案，应通知电力负荷管理工作组织机构授权的人员强制执行。</w:t>
      </w:r>
    </w:p>
    <w:p>
      <w:pPr>
        <w:keepNext/>
        <w:keepLines w:val="0"/>
        <w:pageBreakBefore w:val="0"/>
        <w:widowControl w:val="0"/>
        <w:kinsoku/>
        <w:wordWrap/>
        <w:overflowPunct/>
        <w:topLinePunct w:val="0"/>
        <w:autoSpaceDE/>
        <w:autoSpaceDN/>
        <w:bidi w:val="0"/>
        <w:adjustRightInd/>
        <w:snapToGrid/>
        <w:spacing w:line="48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5.对在电力应急工作实施期间阻挠督察组行使正常督察工作，督察人员应立即汇报本地电力负荷管理工作领导小组，</w:t>
      </w:r>
      <w:r>
        <w:rPr>
          <w:rFonts w:hint="eastAsia" w:ascii="Times New Roman" w:hAnsi="Times New Roman" w:eastAsia="方正仿宋_GBK" w:cs="Times New Roman"/>
          <w:color w:val="auto"/>
          <w:sz w:val="32"/>
          <w:szCs w:val="32"/>
          <w:highlight w:val="none"/>
          <w:lang w:eastAsia="zh-CN"/>
        </w:rPr>
        <w:t>做</w:t>
      </w:r>
      <w:r>
        <w:rPr>
          <w:rFonts w:hint="default" w:ascii="Times New Roman" w:hAnsi="Times New Roman" w:eastAsia="方正仿宋_GBK" w:cs="Times New Roman"/>
          <w:color w:val="auto"/>
          <w:sz w:val="32"/>
          <w:szCs w:val="32"/>
          <w:highlight w:val="none"/>
        </w:rPr>
        <w:t>进一步处理。</w:t>
      </w:r>
    </w:p>
    <w:p>
      <w:pPr>
        <w:keepNext/>
        <w:keepLines w:val="0"/>
        <w:pageBreakBefore w:val="0"/>
        <w:widowControl w:val="0"/>
        <w:kinsoku/>
        <w:wordWrap/>
        <w:overflowPunct/>
        <w:topLinePunct w:val="0"/>
        <w:autoSpaceDE/>
        <w:autoSpaceDN/>
        <w:bidi w:val="0"/>
        <w:adjustRightInd/>
        <w:snapToGrid/>
        <w:spacing w:line="48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6.电力负荷管理工作领导小组在接到督察人员报告后，经核实准确的，可以进行相应的处罚直至授权供电部门对其实行强制措施，强制执行可以采用在供电公司所辖电源侧操作的方式。</w:t>
      </w:r>
    </w:p>
    <w:p>
      <w:pPr>
        <w:keepNext/>
        <w:keepLines w:val="0"/>
        <w:pageBreakBefore w:val="0"/>
        <w:widowControl w:val="0"/>
        <w:kinsoku/>
        <w:wordWrap/>
        <w:overflowPunct/>
        <w:topLinePunct w:val="0"/>
        <w:autoSpaceDE/>
        <w:autoSpaceDN/>
        <w:bidi w:val="0"/>
        <w:adjustRightInd/>
        <w:snapToGrid/>
        <w:spacing w:line="48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7.凡实行强制措施的，必须由电力负荷管理工作领导小组授权恢复。</w:t>
      </w:r>
    </w:p>
    <w:p>
      <w:pPr>
        <w:pStyle w:val="7"/>
        <w:keepNext/>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方正仿宋_GBK" w:cs="Times New Roman"/>
          <w:color w:val="auto"/>
          <w:sz w:val="32"/>
          <w:szCs w:val="32"/>
          <w:highlight w:val="none"/>
        </w:rPr>
      </w:pPr>
      <w:bookmarkStart w:id="276" w:name="_Toc11805"/>
      <w:bookmarkStart w:id="277" w:name="_Toc24513"/>
      <w:bookmarkStart w:id="278" w:name="_Toc1740"/>
      <w:bookmarkStart w:id="279" w:name="_Toc11821"/>
      <w:bookmarkStart w:id="280" w:name="_Toc18328"/>
      <w:bookmarkStart w:id="281" w:name="_Toc21975"/>
      <w:bookmarkStart w:id="282" w:name="_Toc317170185"/>
      <w:r>
        <w:rPr>
          <w:rFonts w:hint="default" w:ascii="Times New Roman" w:hAnsi="Times New Roman" w:eastAsia="方正仿宋_GBK" w:cs="Times New Roman"/>
          <w:color w:val="auto"/>
          <w:sz w:val="32"/>
          <w:szCs w:val="32"/>
          <w:highlight w:val="none"/>
        </w:rPr>
        <w:t>6.4.5  违规处理</w:t>
      </w:r>
      <w:bookmarkEnd w:id="276"/>
      <w:bookmarkEnd w:id="277"/>
      <w:bookmarkEnd w:id="278"/>
      <w:bookmarkEnd w:id="279"/>
      <w:bookmarkEnd w:id="280"/>
      <w:bookmarkEnd w:id="281"/>
      <w:bookmarkEnd w:id="282"/>
    </w:p>
    <w:p>
      <w:pPr>
        <w:keepNext/>
        <w:keepLines w:val="0"/>
        <w:pageBreakBefore w:val="0"/>
        <w:widowControl w:val="0"/>
        <w:kinsoku/>
        <w:wordWrap/>
        <w:overflowPunct/>
        <w:topLinePunct w:val="0"/>
        <w:autoSpaceDE/>
        <w:autoSpaceDN/>
        <w:bidi w:val="0"/>
        <w:adjustRightInd/>
        <w:snapToGrid/>
        <w:spacing w:line="48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对执行电力应急控制负荷指令不力的企业，依照《中华人民共和国电力法》、《电力供应与使用条例》、《有序用电管理办法》、《江苏省电力条例》的规定严肃处理，情节严重的，要按照国家规定的程序停止供电，取消企业电气负责人和相关人员的电工证、变电运行人员上岗证书以及相关资质，并依法追究相关人员责任。</w:t>
      </w:r>
    </w:p>
    <w:p>
      <w:pPr>
        <w:pStyle w:val="7"/>
        <w:keepNext/>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方正仿宋_GBK" w:cs="Times New Roman"/>
          <w:color w:val="auto"/>
          <w:sz w:val="32"/>
          <w:szCs w:val="32"/>
          <w:highlight w:val="none"/>
        </w:rPr>
      </w:pPr>
      <w:bookmarkStart w:id="283" w:name="_Toc19786"/>
      <w:bookmarkStart w:id="284" w:name="_Toc317170186"/>
      <w:bookmarkStart w:id="285" w:name="_Toc2036"/>
      <w:bookmarkStart w:id="286" w:name="_Toc11059"/>
      <w:bookmarkStart w:id="287" w:name="_Toc28118"/>
      <w:bookmarkStart w:id="288" w:name="_Toc29917"/>
      <w:bookmarkStart w:id="289" w:name="_Toc7967"/>
      <w:r>
        <w:rPr>
          <w:rFonts w:hint="default" w:ascii="Times New Roman" w:hAnsi="Times New Roman" w:eastAsia="方正仿宋_GBK" w:cs="Times New Roman"/>
          <w:color w:val="auto"/>
          <w:sz w:val="32"/>
          <w:szCs w:val="32"/>
          <w:highlight w:val="none"/>
        </w:rPr>
        <w:t>6.4.6  督察纪律</w:t>
      </w:r>
      <w:bookmarkEnd w:id="283"/>
      <w:bookmarkEnd w:id="284"/>
      <w:bookmarkEnd w:id="285"/>
      <w:bookmarkEnd w:id="286"/>
      <w:bookmarkEnd w:id="287"/>
      <w:bookmarkEnd w:id="288"/>
      <w:bookmarkEnd w:id="289"/>
    </w:p>
    <w:p>
      <w:pPr>
        <w:keepNext/>
        <w:keepLines w:val="0"/>
        <w:pageBreakBefore w:val="0"/>
        <w:widowControl w:val="0"/>
        <w:kinsoku/>
        <w:wordWrap/>
        <w:overflowPunct/>
        <w:topLinePunct w:val="0"/>
        <w:autoSpaceDE/>
        <w:autoSpaceDN/>
        <w:bidi w:val="0"/>
        <w:adjustRightInd/>
        <w:snapToGrid/>
        <w:spacing w:line="48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1.电力应急督察工作必须以事实为依据，以国家</w:t>
      </w:r>
      <w:r>
        <w:rPr>
          <w:rFonts w:hint="eastAsia" w:ascii="Times New Roman" w:hAnsi="Times New Roman" w:eastAsia="方正仿宋_GBK" w:cs="Times New Roman"/>
          <w:color w:val="auto"/>
          <w:sz w:val="32"/>
          <w:szCs w:val="32"/>
          <w:highlight w:val="none"/>
          <w:lang w:eastAsia="zh-CN"/>
        </w:rPr>
        <w:t>法律法规</w:t>
      </w:r>
      <w:r>
        <w:rPr>
          <w:rFonts w:hint="default" w:ascii="Times New Roman" w:hAnsi="Times New Roman" w:eastAsia="方正仿宋_GBK" w:cs="Times New Roman"/>
          <w:color w:val="auto"/>
          <w:sz w:val="32"/>
          <w:szCs w:val="32"/>
          <w:highlight w:val="none"/>
        </w:rPr>
        <w:t>和电力供应与使用条例、供电监管条例的方针、政策以</w:t>
      </w:r>
      <w:r>
        <w:rPr>
          <w:rFonts w:hint="default" w:ascii="Times New Roman" w:hAnsi="Times New Roman" w:eastAsia="方正仿宋_GBK" w:cs="Times New Roman"/>
          <w:color w:val="auto"/>
          <w:spacing w:val="-11"/>
          <w:sz w:val="32"/>
          <w:szCs w:val="32"/>
          <w:highlight w:val="none"/>
        </w:rPr>
        <w:t>及国家和电力行业的标准为准则，对用户的电力使用进行督察。</w:t>
      </w:r>
    </w:p>
    <w:p>
      <w:pPr>
        <w:keepNext/>
        <w:keepLines w:val="0"/>
        <w:pageBreakBefore w:val="0"/>
        <w:widowControl w:val="0"/>
        <w:kinsoku/>
        <w:wordWrap/>
        <w:overflowPunct/>
        <w:topLinePunct w:val="0"/>
        <w:autoSpaceDE/>
        <w:autoSpaceDN/>
        <w:bidi w:val="0"/>
        <w:adjustRightInd/>
        <w:snapToGrid/>
        <w:spacing w:line="48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2.电力应急督察工作人员应认真履行电力应急督察职责，赴用户执行电力应急督察工作时，应随身携带相关证明，并按《用电检查工作单》规定项目和内容进行督察。</w:t>
      </w:r>
    </w:p>
    <w:p>
      <w:pPr>
        <w:keepNext/>
        <w:keepLines w:val="0"/>
        <w:pageBreakBefore w:val="0"/>
        <w:widowControl w:val="0"/>
        <w:kinsoku/>
        <w:wordWrap/>
        <w:overflowPunct/>
        <w:topLinePunct w:val="0"/>
        <w:autoSpaceDE/>
        <w:autoSpaceDN/>
        <w:bidi w:val="0"/>
        <w:adjustRightInd/>
        <w:snapToGrid/>
        <w:spacing w:line="48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3.电力应急督察人员在执行电力应急督察工作时，应遵守用户的保卫保密规定，不得在督察现场替代用户进行电工作业。</w:t>
      </w:r>
    </w:p>
    <w:p>
      <w:pPr>
        <w:keepNext/>
        <w:keepLines w:val="0"/>
        <w:pageBreakBefore w:val="0"/>
        <w:widowControl w:val="0"/>
        <w:kinsoku/>
        <w:wordWrap/>
        <w:overflowPunct/>
        <w:topLinePunct w:val="0"/>
        <w:autoSpaceDE/>
        <w:autoSpaceDN/>
        <w:bidi w:val="0"/>
        <w:adjustRightInd/>
        <w:snapToGrid/>
        <w:spacing w:line="48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4.电力应急督察人员必须遵纪守法、依法督察、廉洁奉公、遵守电业职工职业道德规范、不徇私舞弊、不以电谋私，违反本规定者，依据有关规定给予经济和</w:t>
      </w:r>
      <w:r>
        <w:rPr>
          <w:rFonts w:hint="eastAsia" w:ascii="Times New Roman" w:hAnsi="Times New Roman" w:eastAsia="方正仿宋_GBK" w:cs="Times New Roman"/>
          <w:color w:val="auto"/>
          <w:sz w:val="32"/>
          <w:szCs w:val="32"/>
          <w:highlight w:val="none"/>
          <w:lang w:eastAsia="zh-CN"/>
        </w:rPr>
        <w:t>行政</w:t>
      </w:r>
      <w:r>
        <w:rPr>
          <w:rFonts w:hint="default" w:ascii="Times New Roman" w:hAnsi="Times New Roman" w:eastAsia="方正仿宋_GBK" w:cs="Times New Roman"/>
          <w:color w:val="auto"/>
          <w:sz w:val="32"/>
          <w:szCs w:val="32"/>
          <w:highlight w:val="none"/>
        </w:rPr>
        <w:t>处分；构成犯罪的，报有关部门依法追究其刑事责任。</w:t>
      </w:r>
    </w:p>
    <w:p>
      <w:pPr>
        <w:pStyle w:val="7"/>
        <w:keepNext/>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方正仿宋_GBK" w:cs="Times New Roman"/>
          <w:color w:val="auto"/>
          <w:sz w:val="32"/>
          <w:szCs w:val="32"/>
          <w:highlight w:val="none"/>
        </w:rPr>
      </w:pPr>
      <w:bookmarkStart w:id="290" w:name="_Toc317170187"/>
      <w:bookmarkStart w:id="291" w:name="_Toc15197"/>
      <w:bookmarkStart w:id="292" w:name="_Toc1298"/>
      <w:bookmarkStart w:id="293" w:name="_Toc708"/>
      <w:bookmarkStart w:id="294" w:name="_Toc32330"/>
      <w:bookmarkStart w:id="295" w:name="_Toc27387"/>
      <w:bookmarkStart w:id="296" w:name="_Toc32433"/>
      <w:r>
        <w:rPr>
          <w:rFonts w:hint="default" w:ascii="Times New Roman" w:hAnsi="Times New Roman" w:eastAsia="方正仿宋_GBK" w:cs="Times New Roman"/>
          <w:color w:val="auto"/>
          <w:sz w:val="32"/>
          <w:szCs w:val="32"/>
          <w:highlight w:val="none"/>
        </w:rPr>
        <w:t>6.4.7  定人定点督察</w:t>
      </w:r>
      <w:bookmarkEnd w:id="290"/>
      <w:bookmarkEnd w:id="291"/>
      <w:bookmarkEnd w:id="292"/>
      <w:bookmarkEnd w:id="293"/>
      <w:bookmarkEnd w:id="294"/>
      <w:bookmarkEnd w:id="295"/>
      <w:bookmarkEnd w:id="296"/>
    </w:p>
    <w:p>
      <w:pPr>
        <w:keepNext/>
        <w:keepLines w:val="0"/>
        <w:pageBreakBefore w:val="0"/>
        <w:widowControl w:val="0"/>
        <w:kinsoku/>
        <w:wordWrap/>
        <w:overflowPunct/>
        <w:topLinePunct w:val="0"/>
        <w:autoSpaceDE/>
        <w:autoSpaceDN/>
        <w:bidi w:val="0"/>
        <w:adjustRightInd/>
        <w:snapToGrid/>
        <w:spacing w:line="480" w:lineRule="exact"/>
        <w:ind w:firstLine="64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对于电力负荷管理预案用户，实现电力应急工作督察组督察和供电公司责任人督察相结合的督察方式，对电力负荷管理预案中的用户，由供电公司责任人一对一定人、定户、定点督察。一旦启动电力负荷管理预案，供电公司责任人必须在企业现场监督企业控制负荷和释放负荷，确保企业快速响应。</w:t>
      </w:r>
    </w:p>
    <w:p>
      <w:pPr>
        <w:pStyle w:val="3"/>
        <w:keepNext w:val="0"/>
        <w:keepLines w:val="0"/>
        <w:numPr>
          <w:ilvl w:val="0"/>
          <w:numId w:val="0"/>
        </w:numPr>
        <w:spacing w:before="0" w:after="0" w:line="500" w:lineRule="exact"/>
        <w:rPr>
          <w:rFonts w:hint="default" w:ascii="Times New Roman" w:hAnsi="Times New Roman" w:eastAsia="方正黑体_GBK" w:cs="Times New Roman"/>
          <w:b w:val="0"/>
          <w:color w:val="auto"/>
          <w:kern w:val="2"/>
          <w:sz w:val="32"/>
          <w:highlight w:val="none"/>
        </w:rPr>
      </w:pPr>
      <w:bookmarkStart w:id="297" w:name="_Toc317170188"/>
      <w:bookmarkStart w:id="298" w:name="_Toc3768"/>
      <w:bookmarkStart w:id="299" w:name="_Toc19887"/>
      <w:bookmarkStart w:id="300" w:name="_Toc22690"/>
      <w:bookmarkStart w:id="301" w:name="_Toc3485"/>
      <w:bookmarkStart w:id="302" w:name="_Toc19779"/>
      <w:bookmarkStart w:id="303" w:name="_Toc21509"/>
      <w:bookmarkStart w:id="304" w:name="_Toc28022"/>
      <w:r>
        <w:rPr>
          <w:rFonts w:hint="default" w:ascii="Times New Roman" w:hAnsi="Times New Roman" w:eastAsia="方正仿宋_GBK" w:cs="Times New Roman"/>
          <w:b w:val="0"/>
          <w:color w:val="auto"/>
          <w:kern w:val="2"/>
          <w:sz w:val="32"/>
          <w:highlight w:val="none"/>
        </w:rPr>
        <w:br w:type="page"/>
      </w:r>
      <w:r>
        <w:rPr>
          <w:rFonts w:hint="default" w:ascii="Times New Roman" w:hAnsi="Times New Roman" w:eastAsia="方正黑体_GBK" w:cs="Times New Roman"/>
          <w:b w:val="0"/>
          <w:color w:val="auto"/>
          <w:kern w:val="2"/>
          <w:sz w:val="32"/>
          <w:highlight w:val="none"/>
        </w:rPr>
        <w:t>第七章  宣传和</w:t>
      </w:r>
      <w:bookmarkEnd w:id="297"/>
      <w:bookmarkEnd w:id="298"/>
      <w:bookmarkEnd w:id="299"/>
      <w:r>
        <w:rPr>
          <w:rFonts w:hint="default" w:ascii="Times New Roman" w:hAnsi="Times New Roman" w:eastAsia="方正黑体_GBK" w:cs="Times New Roman"/>
          <w:b w:val="0"/>
          <w:color w:val="auto"/>
          <w:kern w:val="2"/>
          <w:sz w:val="32"/>
          <w:highlight w:val="none"/>
        </w:rPr>
        <w:t>告知</w:t>
      </w:r>
      <w:bookmarkEnd w:id="300"/>
      <w:bookmarkEnd w:id="301"/>
      <w:bookmarkEnd w:id="302"/>
      <w:bookmarkEnd w:id="303"/>
      <w:bookmarkEnd w:id="304"/>
    </w:p>
    <w:p>
      <w:pPr>
        <w:spacing w:line="490" w:lineRule="exact"/>
        <w:ind w:firstLine="640"/>
        <w:rPr>
          <w:rFonts w:hint="default" w:ascii="Times New Roman" w:hAnsi="Times New Roman" w:eastAsia="方正仿宋_GBK" w:cs="Times New Roman"/>
          <w:color w:val="auto"/>
          <w:sz w:val="32"/>
          <w:szCs w:val="32"/>
          <w:highlight w:val="none"/>
        </w:rPr>
      </w:pPr>
    </w:p>
    <w:p>
      <w:pPr>
        <w:spacing w:line="490" w:lineRule="exact"/>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为确保方案的顺利有序实施，通过媒体渠道和宣传手段合理引导舆论导向，宣传供用电形势、电力负荷管理预案，取得社会的广泛理解和支持，平稳有序地完成用电高峰期间的供电工作任务，做到不发生媒体投诉事件，构建和谐的供用电环境，特制定宣传、培训方案。</w:t>
      </w:r>
    </w:p>
    <w:p>
      <w:pPr>
        <w:pStyle w:val="5"/>
        <w:ind w:firstLine="640"/>
        <w:rPr>
          <w:rFonts w:hint="default" w:ascii="Times New Roman" w:hAnsi="Times New Roman" w:eastAsia="方正仿宋_GBK" w:cs="Times New Roman"/>
          <w:color w:val="auto"/>
          <w:sz w:val="32"/>
          <w:szCs w:val="32"/>
          <w:highlight w:val="none"/>
        </w:rPr>
      </w:pPr>
      <w:bookmarkStart w:id="305" w:name="_Toc317170189"/>
      <w:bookmarkStart w:id="306" w:name="_Toc11480"/>
      <w:bookmarkStart w:id="307" w:name="_Toc11467"/>
      <w:bookmarkStart w:id="308" w:name="_Toc16551"/>
      <w:bookmarkStart w:id="309" w:name="_Toc30662"/>
      <w:bookmarkStart w:id="310" w:name="_Toc13517"/>
      <w:bookmarkStart w:id="311" w:name="_Toc18385"/>
      <w:bookmarkStart w:id="312" w:name="_Toc22452"/>
      <w:r>
        <w:rPr>
          <w:rFonts w:hint="default" w:ascii="Times New Roman" w:hAnsi="Times New Roman" w:eastAsia="方正仿宋_GBK" w:cs="Times New Roman"/>
          <w:color w:val="auto"/>
          <w:sz w:val="32"/>
          <w:szCs w:val="32"/>
          <w:highlight w:val="none"/>
        </w:rPr>
        <w:t>7.1  宣传目的</w:t>
      </w:r>
      <w:bookmarkEnd w:id="305"/>
      <w:bookmarkEnd w:id="306"/>
      <w:bookmarkEnd w:id="307"/>
      <w:bookmarkEnd w:id="308"/>
      <w:bookmarkEnd w:id="309"/>
      <w:bookmarkEnd w:id="310"/>
      <w:bookmarkEnd w:id="311"/>
      <w:bookmarkEnd w:id="312"/>
    </w:p>
    <w:p>
      <w:pPr>
        <w:spacing w:line="490" w:lineRule="exact"/>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宿迁市202</w:t>
      </w:r>
      <w:r>
        <w:rPr>
          <w:rFonts w:hint="default" w:ascii="Times New Roman" w:hAnsi="Times New Roman" w:eastAsia="方正仿宋_GBK" w:cs="Times New Roman"/>
          <w:color w:val="auto"/>
          <w:sz w:val="32"/>
          <w:szCs w:val="32"/>
          <w:highlight w:val="none"/>
          <w:lang w:val="en-US" w:eastAsia="zh-CN"/>
        </w:rPr>
        <w:t>5</w:t>
      </w:r>
      <w:r>
        <w:rPr>
          <w:rFonts w:hint="default" w:ascii="Times New Roman" w:hAnsi="Times New Roman" w:eastAsia="方正仿宋_GBK" w:cs="Times New Roman"/>
          <w:color w:val="auto"/>
          <w:sz w:val="32"/>
          <w:szCs w:val="32"/>
          <w:highlight w:val="none"/>
        </w:rPr>
        <w:t>年电力负荷管理预案宣传工作紧紧围绕“安全有序、市场主导、有保有限、灵活有效”的中心任务，通过认真分析系统存在的不确定因素影响电力供需平衡的状况，科学、客观地预测供需形势，适时采取有力的电力负荷管理和供电服务措施，保障全市供电稳定、有序，满足全市经济社会发展需要。通过宣传，正确引导舆论导向，号召社会各界支持和配合做好电力负荷管理工作，鼓励科学用电、合理用电、节约用电，营造全社会和谐的供用电环境。</w:t>
      </w:r>
    </w:p>
    <w:p>
      <w:pPr>
        <w:pStyle w:val="5"/>
        <w:ind w:firstLine="640"/>
        <w:rPr>
          <w:rFonts w:hint="default" w:ascii="Times New Roman" w:hAnsi="Times New Roman" w:eastAsia="方正仿宋_GBK" w:cs="Times New Roman"/>
          <w:color w:val="auto"/>
          <w:sz w:val="32"/>
          <w:szCs w:val="32"/>
          <w:highlight w:val="none"/>
        </w:rPr>
      </w:pPr>
      <w:bookmarkStart w:id="313" w:name="_Toc28965"/>
      <w:bookmarkStart w:id="314" w:name="_Toc9390"/>
      <w:bookmarkStart w:id="315" w:name="_Toc16591"/>
      <w:bookmarkStart w:id="316" w:name="_Toc31957"/>
      <w:bookmarkStart w:id="317" w:name="_Toc25147"/>
      <w:bookmarkStart w:id="318" w:name="_Toc8706"/>
      <w:bookmarkStart w:id="319" w:name="_Toc317170190"/>
      <w:bookmarkStart w:id="320" w:name="_Toc31043"/>
      <w:r>
        <w:rPr>
          <w:rFonts w:hint="default" w:ascii="Times New Roman" w:hAnsi="Times New Roman" w:eastAsia="方正仿宋_GBK" w:cs="Times New Roman"/>
          <w:color w:val="auto"/>
          <w:sz w:val="32"/>
          <w:szCs w:val="32"/>
          <w:highlight w:val="none"/>
        </w:rPr>
        <w:t>7.2  宣传组织体系</w:t>
      </w:r>
      <w:bookmarkEnd w:id="313"/>
      <w:bookmarkEnd w:id="314"/>
      <w:bookmarkEnd w:id="315"/>
      <w:bookmarkEnd w:id="316"/>
      <w:bookmarkEnd w:id="317"/>
      <w:bookmarkEnd w:id="318"/>
      <w:bookmarkEnd w:id="319"/>
      <w:bookmarkEnd w:id="320"/>
    </w:p>
    <w:p>
      <w:pPr>
        <w:spacing w:line="490" w:lineRule="exact"/>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成立以宿迁市电力负荷</w:t>
      </w:r>
      <w:r>
        <w:rPr>
          <w:rFonts w:hint="eastAsia" w:ascii="Times New Roman" w:hAnsi="Times New Roman" w:eastAsia="方正仿宋_GBK" w:cs="Times New Roman"/>
          <w:color w:val="auto"/>
          <w:sz w:val="32"/>
          <w:szCs w:val="32"/>
          <w:highlight w:val="none"/>
          <w:lang w:eastAsia="zh-CN"/>
        </w:rPr>
        <w:t>管理</w:t>
      </w:r>
      <w:r>
        <w:rPr>
          <w:rFonts w:hint="default" w:ascii="Times New Roman" w:hAnsi="Times New Roman" w:eastAsia="方正仿宋_GBK" w:cs="Times New Roman"/>
          <w:color w:val="auto"/>
          <w:sz w:val="32"/>
          <w:szCs w:val="32"/>
          <w:highlight w:val="none"/>
        </w:rPr>
        <w:t>部门办公室成员为领导的宣传工作组织体系，下设宣传工作小组，由宿迁供电公司副总经理陈  成担任组长，小组成员由宿迁供电公司党群、营销、发策、调度、运检、法律事务等部门组成。</w:t>
      </w:r>
    </w:p>
    <w:p>
      <w:pPr>
        <w:pStyle w:val="5"/>
        <w:ind w:firstLine="640"/>
        <w:rPr>
          <w:rFonts w:hint="default" w:ascii="Times New Roman" w:hAnsi="Times New Roman" w:eastAsia="方正仿宋_GBK" w:cs="Times New Roman"/>
          <w:color w:val="auto"/>
          <w:sz w:val="32"/>
          <w:szCs w:val="32"/>
          <w:highlight w:val="none"/>
        </w:rPr>
      </w:pPr>
      <w:bookmarkStart w:id="321" w:name="_Toc13524"/>
      <w:bookmarkStart w:id="322" w:name="_Toc22564"/>
      <w:bookmarkStart w:id="323" w:name="_Toc26055"/>
      <w:bookmarkStart w:id="324" w:name="_Toc13108"/>
      <w:bookmarkStart w:id="325" w:name="_Toc7909"/>
      <w:bookmarkStart w:id="326" w:name="_Toc3621"/>
      <w:bookmarkStart w:id="327" w:name="_Toc317170191"/>
      <w:bookmarkStart w:id="328" w:name="_Toc32424"/>
      <w:r>
        <w:rPr>
          <w:rFonts w:hint="default" w:ascii="Times New Roman" w:hAnsi="Times New Roman" w:eastAsia="方正仿宋_GBK" w:cs="Times New Roman"/>
          <w:color w:val="auto"/>
          <w:sz w:val="32"/>
          <w:szCs w:val="32"/>
          <w:highlight w:val="none"/>
        </w:rPr>
        <w:t>7.3  宣传工作</w:t>
      </w:r>
      <w:bookmarkEnd w:id="321"/>
      <w:bookmarkEnd w:id="322"/>
      <w:bookmarkEnd w:id="323"/>
      <w:bookmarkEnd w:id="324"/>
      <w:bookmarkEnd w:id="325"/>
      <w:bookmarkEnd w:id="326"/>
      <w:bookmarkEnd w:id="327"/>
      <w:bookmarkEnd w:id="328"/>
    </w:p>
    <w:p>
      <w:pPr>
        <w:spacing w:line="490" w:lineRule="exact"/>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 xml:space="preserve">宣传工作分为四个阶段：（一）宣传准备阶段，（二）广泛宣传阶段，（三）用电单位分类分层次宣传阶段，（四）落实实施宣传阶段。      </w:t>
      </w:r>
    </w:p>
    <w:p>
      <w:pPr>
        <w:pStyle w:val="7"/>
        <w:rPr>
          <w:rFonts w:hint="default" w:ascii="Times New Roman" w:hAnsi="Times New Roman" w:eastAsia="方正仿宋_GBK" w:cs="Times New Roman"/>
          <w:color w:val="auto"/>
          <w:sz w:val="32"/>
          <w:szCs w:val="32"/>
          <w:highlight w:val="none"/>
        </w:rPr>
      </w:pPr>
      <w:bookmarkStart w:id="329" w:name="_Toc28448"/>
      <w:bookmarkStart w:id="330" w:name="_Toc317170192"/>
      <w:bookmarkStart w:id="331" w:name="_Toc25443"/>
      <w:bookmarkStart w:id="332" w:name="_Toc4296"/>
      <w:bookmarkStart w:id="333" w:name="_Toc18834"/>
      <w:bookmarkStart w:id="334" w:name="_Toc22086"/>
      <w:bookmarkStart w:id="335" w:name="_Toc4668"/>
      <w:r>
        <w:rPr>
          <w:rFonts w:hint="default" w:ascii="Times New Roman" w:hAnsi="Times New Roman" w:eastAsia="方正仿宋_GBK" w:cs="Times New Roman"/>
          <w:color w:val="auto"/>
          <w:sz w:val="32"/>
          <w:szCs w:val="32"/>
          <w:highlight w:val="none"/>
        </w:rPr>
        <w:t>7.3.1  宣传准备阶段</w:t>
      </w:r>
      <w:bookmarkEnd w:id="329"/>
      <w:bookmarkEnd w:id="330"/>
      <w:bookmarkEnd w:id="331"/>
      <w:bookmarkEnd w:id="332"/>
      <w:bookmarkEnd w:id="333"/>
      <w:bookmarkEnd w:id="334"/>
      <w:r>
        <w:rPr>
          <w:rFonts w:hint="default" w:ascii="Times New Roman" w:hAnsi="Times New Roman" w:eastAsia="方正仿宋_GBK" w:cs="Times New Roman"/>
          <w:color w:val="auto"/>
          <w:sz w:val="32"/>
          <w:szCs w:val="32"/>
          <w:highlight w:val="none"/>
        </w:rPr>
        <w:t xml:space="preserve"> </w:t>
      </w:r>
      <w:bookmarkEnd w:id="335"/>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b/>
          <w:bCs/>
          <w:color w:val="auto"/>
          <w:sz w:val="32"/>
          <w:szCs w:val="32"/>
          <w:highlight w:val="none"/>
        </w:rPr>
        <w:t>（202</w:t>
      </w:r>
      <w:r>
        <w:rPr>
          <w:rFonts w:hint="default" w:ascii="Times New Roman" w:hAnsi="Times New Roman" w:eastAsia="方正仿宋_GBK" w:cs="Times New Roman"/>
          <w:b/>
          <w:bCs/>
          <w:color w:val="auto"/>
          <w:sz w:val="32"/>
          <w:szCs w:val="32"/>
          <w:highlight w:val="none"/>
          <w:lang w:val="en-US" w:eastAsia="zh-CN"/>
        </w:rPr>
        <w:t>5</w:t>
      </w:r>
      <w:r>
        <w:rPr>
          <w:rFonts w:hint="default" w:ascii="Times New Roman" w:hAnsi="Times New Roman" w:eastAsia="方正仿宋_GBK" w:cs="Times New Roman"/>
          <w:b/>
          <w:bCs/>
          <w:color w:val="auto"/>
          <w:sz w:val="32"/>
          <w:szCs w:val="32"/>
          <w:highlight w:val="none"/>
        </w:rPr>
        <w:t>年5月）</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1.成立宣传机构、拟定宣传工作计划。首先市电力负荷</w:t>
      </w:r>
      <w:r>
        <w:rPr>
          <w:rFonts w:hint="eastAsia" w:ascii="Times New Roman" w:hAnsi="Times New Roman" w:eastAsia="方正仿宋_GBK" w:cs="Times New Roman"/>
          <w:color w:val="auto"/>
          <w:sz w:val="32"/>
          <w:szCs w:val="32"/>
          <w:highlight w:val="none"/>
          <w:lang w:eastAsia="zh-CN"/>
        </w:rPr>
        <w:t>管理</w:t>
      </w:r>
      <w:r>
        <w:rPr>
          <w:rFonts w:hint="default" w:ascii="Times New Roman" w:hAnsi="Times New Roman" w:eastAsia="方正仿宋_GBK" w:cs="Times New Roman"/>
          <w:color w:val="auto"/>
          <w:sz w:val="32"/>
          <w:szCs w:val="32"/>
          <w:highlight w:val="none"/>
        </w:rPr>
        <w:t>工作小组办公室需设立专人负责领导宣传工作，宿迁供电公司应设立专人负责错峰的宣传工作，在市电力负荷</w:t>
      </w:r>
      <w:r>
        <w:rPr>
          <w:rFonts w:hint="eastAsia" w:ascii="Times New Roman" w:hAnsi="Times New Roman" w:eastAsia="方正仿宋_GBK" w:cs="Times New Roman"/>
          <w:color w:val="auto"/>
          <w:sz w:val="32"/>
          <w:szCs w:val="32"/>
          <w:highlight w:val="none"/>
          <w:lang w:eastAsia="zh-CN"/>
        </w:rPr>
        <w:t>管理</w:t>
      </w:r>
      <w:r>
        <w:rPr>
          <w:rFonts w:hint="default" w:ascii="Times New Roman" w:hAnsi="Times New Roman" w:eastAsia="方正仿宋_GBK" w:cs="Times New Roman"/>
          <w:color w:val="auto"/>
          <w:sz w:val="32"/>
          <w:szCs w:val="32"/>
          <w:highlight w:val="none"/>
        </w:rPr>
        <w:t>工作小组的领导下，全面负责宣传方面的有关工作，对于在</w:t>
      </w:r>
      <w:r>
        <w:rPr>
          <w:rFonts w:hint="default" w:ascii="Times New Roman" w:hAnsi="Times New Roman" w:eastAsia="方正仿宋_GBK" w:cs="Times New Roman"/>
          <w:color w:val="auto"/>
          <w:sz w:val="32"/>
          <w:szCs w:val="32"/>
          <w:highlight w:val="none"/>
          <w:lang w:val="en-US" w:eastAsia="zh-CN"/>
        </w:rPr>
        <w:t>此</w:t>
      </w:r>
      <w:r>
        <w:rPr>
          <w:rFonts w:hint="default" w:ascii="Times New Roman" w:hAnsi="Times New Roman" w:eastAsia="方正仿宋_GBK" w:cs="Times New Roman"/>
          <w:color w:val="auto"/>
          <w:sz w:val="32"/>
          <w:szCs w:val="32"/>
          <w:highlight w:val="none"/>
        </w:rPr>
        <w:t>期间的宣传方式、宣传口径以及宣传步骤严格审核。</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2.召开相关部门和郊县公司宣传工作会议、部署202</w:t>
      </w:r>
      <w:r>
        <w:rPr>
          <w:rFonts w:hint="default" w:ascii="Times New Roman" w:hAnsi="Times New Roman" w:eastAsia="方正仿宋_GBK" w:cs="Times New Roman"/>
          <w:color w:val="auto"/>
          <w:sz w:val="32"/>
          <w:szCs w:val="32"/>
          <w:highlight w:val="none"/>
          <w:lang w:val="en-US" w:eastAsia="zh-CN"/>
        </w:rPr>
        <w:t>5</w:t>
      </w:r>
      <w:r>
        <w:rPr>
          <w:rFonts w:hint="default" w:ascii="Times New Roman" w:hAnsi="Times New Roman" w:eastAsia="方正仿宋_GBK" w:cs="Times New Roman"/>
          <w:color w:val="auto"/>
          <w:sz w:val="32"/>
          <w:szCs w:val="32"/>
          <w:highlight w:val="none"/>
        </w:rPr>
        <w:t>年电力负荷管理宣传的准备工作，要求各单位发动人员，深入各用电单位，要求根据各用电单位的性质不同，执行不同的错峰方案。</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3.由市电力负荷</w:t>
      </w:r>
      <w:r>
        <w:rPr>
          <w:rFonts w:hint="eastAsia" w:ascii="Times New Roman" w:hAnsi="Times New Roman" w:eastAsia="方正仿宋_GBK" w:cs="Times New Roman"/>
          <w:color w:val="auto"/>
          <w:sz w:val="32"/>
          <w:szCs w:val="32"/>
          <w:highlight w:val="none"/>
          <w:lang w:eastAsia="zh-CN"/>
        </w:rPr>
        <w:t>管理</w:t>
      </w:r>
      <w:r>
        <w:rPr>
          <w:rFonts w:hint="default" w:ascii="Times New Roman" w:hAnsi="Times New Roman" w:eastAsia="方正仿宋_GBK" w:cs="Times New Roman"/>
          <w:color w:val="auto"/>
          <w:sz w:val="32"/>
          <w:szCs w:val="32"/>
          <w:highlight w:val="none"/>
        </w:rPr>
        <w:t>工作小组办公室专人编写电力负荷管理宣传稿和宣讲提纲发至宣传部门，广泛动员社会各界支持电力负荷管理工作，使群众了解有序</w:t>
      </w:r>
      <w:r>
        <w:rPr>
          <w:rFonts w:hint="eastAsia" w:ascii="Times New Roman" w:hAnsi="Times New Roman" w:eastAsia="方正仿宋_GBK" w:cs="Times New Roman"/>
          <w:color w:val="auto"/>
          <w:sz w:val="32"/>
          <w:szCs w:val="32"/>
          <w:highlight w:val="none"/>
          <w:lang w:val="en-US" w:eastAsia="zh-CN"/>
        </w:rPr>
        <w:t>用电</w:t>
      </w:r>
      <w:r>
        <w:rPr>
          <w:rFonts w:hint="default" w:ascii="Times New Roman" w:hAnsi="Times New Roman" w:eastAsia="方正仿宋_GBK" w:cs="Times New Roman"/>
          <w:color w:val="auto"/>
          <w:sz w:val="32"/>
          <w:szCs w:val="32"/>
          <w:highlight w:val="none"/>
        </w:rPr>
        <w:t>工作的重要性和必要性。包括以下几部分：</w:t>
      </w:r>
    </w:p>
    <w:p>
      <w:pPr>
        <w:spacing w:line="490" w:lineRule="exact"/>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b/>
          <w:color w:val="auto"/>
          <w:sz w:val="32"/>
          <w:szCs w:val="32"/>
          <w:highlight w:val="none"/>
        </w:rPr>
        <w:t>电能特性宣传。</w:t>
      </w:r>
      <w:r>
        <w:rPr>
          <w:rFonts w:hint="default" w:ascii="Times New Roman" w:hAnsi="Times New Roman" w:eastAsia="方正仿宋_GBK" w:cs="Times New Roman"/>
          <w:color w:val="auto"/>
          <w:sz w:val="32"/>
          <w:szCs w:val="32"/>
          <w:highlight w:val="none"/>
        </w:rPr>
        <w:t>主要宣传电能的产供销同时性，让市民了解电能的不可储存。</w:t>
      </w:r>
    </w:p>
    <w:p>
      <w:pPr>
        <w:spacing w:line="490" w:lineRule="exact"/>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b/>
          <w:color w:val="auto"/>
          <w:sz w:val="32"/>
          <w:szCs w:val="32"/>
          <w:highlight w:val="none"/>
        </w:rPr>
        <w:t>供电形势的宣传</w:t>
      </w:r>
      <w:r>
        <w:rPr>
          <w:rFonts w:hint="default" w:ascii="Times New Roman" w:hAnsi="Times New Roman" w:eastAsia="方正仿宋_GBK" w:cs="Times New Roman"/>
          <w:color w:val="auto"/>
          <w:sz w:val="32"/>
          <w:szCs w:val="32"/>
          <w:highlight w:val="none"/>
        </w:rPr>
        <w:t>。主要宣传夏季用电高峰还存在着很多不确定因素，另外极端天气、机组上大压小及运行不稳定、电煤、燃气供应不足、基建项目受阻等不确定因素，可能存在季节性、时段性电力供需不平衡的情况。</w:t>
      </w:r>
    </w:p>
    <w:p>
      <w:pPr>
        <w:spacing w:line="490" w:lineRule="exact"/>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b/>
          <w:color w:val="auto"/>
          <w:sz w:val="32"/>
          <w:szCs w:val="32"/>
          <w:highlight w:val="none"/>
        </w:rPr>
        <w:t>电力应急工作必要性宣传</w:t>
      </w:r>
      <w:r>
        <w:rPr>
          <w:rFonts w:hint="default" w:ascii="Times New Roman" w:hAnsi="Times New Roman" w:eastAsia="方正仿宋_GBK" w:cs="Times New Roman"/>
          <w:color w:val="auto"/>
          <w:sz w:val="32"/>
          <w:szCs w:val="32"/>
          <w:highlight w:val="none"/>
        </w:rPr>
        <w:t>。为应对可能存在的电力供应不平衡情况，实现“安全有序、市场主导、有保有限、灵活有效”的目标，开展电力应急电力负荷管理工作的必要性，号召全社会积极参与，主动作为，充分利用好有限的电力资源，齐心协力做好电力负荷管理工作。</w:t>
      </w:r>
    </w:p>
    <w:p>
      <w:pPr>
        <w:spacing w:line="490" w:lineRule="exact"/>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b/>
          <w:color w:val="auto"/>
          <w:sz w:val="32"/>
          <w:szCs w:val="32"/>
          <w:highlight w:val="none"/>
        </w:rPr>
        <w:t>电力应急预案的宣传。</w:t>
      </w:r>
      <w:r>
        <w:rPr>
          <w:rFonts w:hint="default" w:ascii="Times New Roman" w:hAnsi="Times New Roman" w:eastAsia="方正仿宋_GBK" w:cs="Times New Roman"/>
          <w:color w:val="auto"/>
          <w:sz w:val="32"/>
          <w:szCs w:val="32"/>
          <w:highlight w:val="none"/>
        </w:rPr>
        <w:t>主要宣传我市已制定的《202</w:t>
      </w:r>
      <w:r>
        <w:rPr>
          <w:rFonts w:hint="default" w:ascii="Times New Roman" w:hAnsi="Times New Roman" w:eastAsia="方正仿宋_GBK" w:cs="Times New Roman"/>
          <w:color w:val="auto"/>
          <w:sz w:val="32"/>
          <w:szCs w:val="32"/>
          <w:highlight w:val="none"/>
          <w:lang w:val="en-US" w:eastAsia="zh-CN"/>
        </w:rPr>
        <w:t>5</w:t>
      </w:r>
      <w:r>
        <w:rPr>
          <w:rFonts w:hint="default" w:ascii="Times New Roman" w:hAnsi="Times New Roman" w:eastAsia="方正仿宋_GBK" w:cs="Times New Roman"/>
          <w:color w:val="auto"/>
          <w:sz w:val="32"/>
          <w:szCs w:val="32"/>
          <w:highlight w:val="none"/>
        </w:rPr>
        <w:t>年宿迁市电力负荷管理预案》，这些方案的实施需要用电单位的主动、积极配合，这样才能最大程度地满足用电单位的用电需要，将影响降到最低。</w:t>
      </w:r>
    </w:p>
    <w:p>
      <w:pPr>
        <w:spacing w:line="490" w:lineRule="exact"/>
        <w:ind w:firstLine="640"/>
        <w:rPr>
          <w:rFonts w:hint="default" w:ascii="Times New Roman" w:hAnsi="Times New Roman" w:eastAsia="方正仿宋_GBK" w:cs="Times New Roman"/>
          <w:color w:val="auto"/>
          <w:sz w:val="32"/>
          <w:szCs w:val="32"/>
          <w:highlight w:val="none"/>
        </w:rPr>
      </w:pPr>
      <w:bookmarkStart w:id="336" w:name="_Toc317170193"/>
      <w:bookmarkStart w:id="337" w:name="_Toc9187"/>
      <w:r>
        <w:rPr>
          <w:rFonts w:hint="default" w:ascii="Times New Roman" w:hAnsi="Times New Roman" w:eastAsia="方正仿宋_GBK" w:cs="Times New Roman"/>
          <w:b/>
          <w:color w:val="auto"/>
          <w:sz w:val="32"/>
          <w:szCs w:val="32"/>
          <w:highlight w:val="none"/>
        </w:rPr>
        <w:t>居民错峰方法及节约用电的宣传。</w:t>
      </w:r>
      <w:r>
        <w:rPr>
          <w:rFonts w:hint="default" w:ascii="Times New Roman" w:hAnsi="Times New Roman" w:eastAsia="方正仿宋_GBK" w:cs="Times New Roman"/>
          <w:color w:val="auto"/>
          <w:sz w:val="32"/>
          <w:szCs w:val="32"/>
          <w:highlight w:val="none"/>
        </w:rPr>
        <w:t>主要鼓励居民参与节电，错峰用电，降低电费支出的小窍门等。</w:t>
      </w:r>
    </w:p>
    <w:p>
      <w:pPr>
        <w:spacing w:line="490" w:lineRule="exact"/>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b/>
          <w:color w:val="auto"/>
          <w:sz w:val="32"/>
          <w:szCs w:val="32"/>
          <w:highlight w:val="none"/>
        </w:rPr>
        <w:t>合理使用空调的宣传。</w:t>
      </w:r>
      <w:r>
        <w:rPr>
          <w:rFonts w:hint="default" w:ascii="Times New Roman" w:hAnsi="Times New Roman" w:eastAsia="方正仿宋_GBK" w:cs="Times New Roman"/>
          <w:color w:val="auto"/>
          <w:sz w:val="32"/>
          <w:szCs w:val="32"/>
          <w:highlight w:val="none"/>
        </w:rPr>
        <w:t>面向居民用户、机关事业单位、宾馆饭店商场超市等公共场所宣传合理启动空调、合理设定空调温度、合理使用空调等。</w:t>
      </w:r>
    </w:p>
    <w:p>
      <w:pPr>
        <w:pStyle w:val="7"/>
        <w:rPr>
          <w:rFonts w:hint="default" w:ascii="Times New Roman" w:hAnsi="Times New Roman" w:eastAsia="方正仿宋_GBK" w:cs="Times New Roman"/>
          <w:color w:val="auto"/>
          <w:sz w:val="32"/>
          <w:szCs w:val="32"/>
          <w:highlight w:val="none"/>
        </w:rPr>
      </w:pPr>
      <w:bookmarkStart w:id="338" w:name="_Toc31533"/>
      <w:bookmarkStart w:id="339" w:name="_Toc7839"/>
      <w:bookmarkStart w:id="340" w:name="_Toc30584"/>
      <w:bookmarkStart w:id="341" w:name="_Toc11551"/>
      <w:bookmarkStart w:id="342" w:name="_Toc25006"/>
      <w:r>
        <w:rPr>
          <w:rFonts w:hint="default" w:ascii="Times New Roman" w:hAnsi="Times New Roman" w:eastAsia="方正仿宋_GBK" w:cs="Times New Roman"/>
          <w:color w:val="auto"/>
          <w:sz w:val="32"/>
          <w:szCs w:val="32"/>
          <w:highlight w:val="none"/>
        </w:rPr>
        <w:t>7.3.2  广泛宣传阶段</w:t>
      </w:r>
      <w:bookmarkEnd w:id="336"/>
      <w:bookmarkEnd w:id="338"/>
      <w:bookmarkEnd w:id="339"/>
      <w:bookmarkEnd w:id="340"/>
      <w:bookmarkEnd w:id="341"/>
      <w:bookmarkEnd w:id="342"/>
      <w:r>
        <w:rPr>
          <w:rFonts w:hint="default" w:ascii="Times New Roman" w:hAnsi="Times New Roman" w:eastAsia="方正仿宋_GBK" w:cs="Times New Roman"/>
          <w:color w:val="auto"/>
          <w:sz w:val="32"/>
          <w:szCs w:val="32"/>
          <w:highlight w:val="none"/>
        </w:rPr>
        <w:t xml:space="preserve"> </w:t>
      </w:r>
      <w:bookmarkEnd w:id="337"/>
    </w:p>
    <w:p>
      <w:pPr>
        <w:ind w:firstLine="640"/>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（202</w:t>
      </w:r>
      <w:r>
        <w:rPr>
          <w:rFonts w:hint="default" w:ascii="Times New Roman" w:hAnsi="Times New Roman" w:eastAsia="方正仿宋_GBK" w:cs="Times New Roman"/>
          <w:b/>
          <w:bCs/>
          <w:color w:val="auto"/>
          <w:sz w:val="32"/>
          <w:szCs w:val="32"/>
          <w:highlight w:val="none"/>
          <w:lang w:val="en-US" w:eastAsia="zh-CN"/>
        </w:rPr>
        <w:t>5</w:t>
      </w:r>
      <w:r>
        <w:rPr>
          <w:rFonts w:hint="default" w:ascii="Times New Roman" w:hAnsi="Times New Roman" w:eastAsia="方正仿宋_GBK" w:cs="Times New Roman"/>
          <w:b/>
          <w:bCs/>
          <w:color w:val="auto"/>
          <w:sz w:val="32"/>
          <w:szCs w:val="32"/>
          <w:highlight w:val="none"/>
        </w:rPr>
        <w:t>年6月）</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1.由市发改委牵头，召开各区县电力应急专题工作会议，各区县政府主管部门参加，会上下发电力负荷管理工作文件，通报宿迁市的供用电形势，布置电力负荷管理工作。</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2.根据批准的电力负荷管理预案，召开市迎峰度夏电力负荷管理新闻发布会。</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3.通过供电流动服务车以及电力展示厅来做全方位宣传。结合节能宣传周、科普宣传周活动，供电服务车在深入市民广场、居民小区作供电服务、节约用电，电力负荷管理的宣传。电力展示厅系统地让参观者了解电力供应的原理以及加强电力负荷管理的意义，了解当前电力供需平衡的情况。同时，走进校园，对青年开展节约用电、合理用电宣传。</w:t>
      </w:r>
    </w:p>
    <w:p>
      <w:pPr>
        <w:pStyle w:val="7"/>
        <w:rPr>
          <w:rFonts w:hint="default" w:ascii="Times New Roman" w:hAnsi="Times New Roman" w:eastAsia="方正仿宋_GBK" w:cs="Times New Roman"/>
          <w:color w:val="auto"/>
          <w:sz w:val="32"/>
          <w:szCs w:val="32"/>
          <w:highlight w:val="none"/>
        </w:rPr>
      </w:pPr>
      <w:bookmarkStart w:id="343" w:name="_Toc11359"/>
      <w:bookmarkStart w:id="344" w:name="_Toc20161"/>
      <w:bookmarkStart w:id="345" w:name="_Toc29831"/>
      <w:bookmarkStart w:id="346" w:name="_Toc317170194"/>
      <w:bookmarkStart w:id="347" w:name="_Toc18676"/>
      <w:bookmarkStart w:id="348" w:name="_Toc7617"/>
      <w:bookmarkStart w:id="349" w:name="_Toc13527"/>
      <w:r>
        <w:rPr>
          <w:rFonts w:hint="default" w:ascii="Times New Roman" w:hAnsi="Times New Roman" w:eastAsia="方正仿宋_GBK" w:cs="Times New Roman"/>
          <w:color w:val="auto"/>
          <w:sz w:val="32"/>
          <w:szCs w:val="32"/>
          <w:highlight w:val="none"/>
        </w:rPr>
        <w:t>7.3.3  用电单位分类分层次宣传阶段</w:t>
      </w:r>
      <w:bookmarkEnd w:id="343"/>
      <w:bookmarkEnd w:id="344"/>
      <w:bookmarkEnd w:id="345"/>
      <w:bookmarkEnd w:id="346"/>
      <w:bookmarkEnd w:id="347"/>
      <w:bookmarkEnd w:id="348"/>
      <w:bookmarkEnd w:id="349"/>
    </w:p>
    <w:p>
      <w:pPr>
        <w:ind w:firstLine="640"/>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（202</w:t>
      </w:r>
      <w:r>
        <w:rPr>
          <w:rFonts w:hint="default" w:ascii="Times New Roman" w:hAnsi="Times New Roman" w:eastAsia="方正仿宋_GBK" w:cs="Times New Roman"/>
          <w:b/>
          <w:bCs/>
          <w:color w:val="auto"/>
          <w:sz w:val="32"/>
          <w:szCs w:val="32"/>
          <w:highlight w:val="none"/>
          <w:lang w:val="en-US" w:eastAsia="zh-CN"/>
        </w:rPr>
        <w:t>5</w:t>
      </w:r>
      <w:r>
        <w:rPr>
          <w:rFonts w:hint="default" w:ascii="Times New Roman" w:hAnsi="Times New Roman" w:eastAsia="方正仿宋_GBK" w:cs="Times New Roman"/>
          <w:b/>
          <w:bCs/>
          <w:color w:val="auto"/>
          <w:sz w:val="32"/>
          <w:szCs w:val="32"/>
          <w:highlight w:val="none"/>
        </w:rPr>
        <w:t>年5月</w:t>
      </w:r>
      <w:r>
        <w:rPr>
          <w:rFonts w:hint="eastAsia" w:ascii="Times New Roman" w:hAnsi="Times New Roman" w:eastAsia="方正仿宋_GBK" w:cs="Times New Roman"/>
          <w:b/>
          <w:bCs/>
          <w:color w:val="auto"/>
          <w:sz w:val="32"/>
          <w:szCs w:val="32"/>
          <w:highlight w:val="none"/>
          <w:lang w:eastAsia="zh-CN"/>
        </w:rPr>
        <w:t>—</w:t>
      </w:r>
      <w:r>
        <w:rPr>
          <w:rFonts w:hint="default" w:ascii="Times New Roman" w:hAnsi="Times New Roman" w:eastAsia="方正仿宋_GBK" w:cs="Times New Roman"/>
          <w:b/>
          <w:bCs/>
          <w:color w:val="auto"/>
          <w:sz w:val="32"/>
          <w:szCs w:val="32"/>
          <w:highlight w:val="none"/>
        </w:rPr>
        <w:t>6月）</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分类分层次召开用电单位电力负荷管理工作会议。根据2024年市政府批准的电力负荷管理预案，会同市发改委召开迎峰度夏新闻发布会，召集客户，分类、分地区召开迎峰度夏动员、电力负荷管理工作会议，会上布置电力负荷管理工作，下发一系列电力负荷管理工作文件，让每家用电单位认清形势，清楚该做什么，怎么做。</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2.走访市政府和各重点单位。上门宣传电力供需形势和采取的有效措施，争取得到这些单位的理解和认可。</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3.加强客户宣传培训。重点是宣传电力应急预案，培训客户内部电力负荷管理预案制定、错避峰操作、负荷释放操作及调荷措施，与有序督察人员加强配合等。为客户提供电力负荷管理法律法规、电力需求侧管理调整负荷的科学、合理用电措施、节电技术及安全用电措施等知识，以进一步加强电力需求侧管理，实施电力负荷管理，帮助和指导广大电力用户科学用电、合理用电、节约用电，鼓励用户积极支持和参与到电力负荷管理工作中，提高能源利用率，充分利用好有限的电力资源，为构建和谐社会，实现“安全有序、市场主导、有保有限、灵活有效”的目标。</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4.走进社区宣传科学、合理、节约用电。向居民宣传节约用电的宣传。发放宣传册，呼吁居民避峰用电，削峰填谷，缓解电网压力；利用经济杠杆调动居民参与错峰的积极性。</w:t>
      </w:r>
    </w:p>
    <w:p>
      <w:pPr>
        <w:pStyle w:val="7"/>
        <w:rPr>
          <w:rFonts w:hint="default" w:ascii="Times New Roman" w:hAnsi="Times New Roman" w:eastAsia="方正仿宋_GBK" w:cs="Times New Roman"/>
          <w:color w:val="auto"/>
          <w:sz w:val="32"/>
          <w:szCs w:val="32"/>
          <w:highlight w:val="none"/>
        </w:rPr>
      </w:pPr>
      <w:bookmarkStart w:id="350" w:name="_Toc6157"/>
      <w:bookmarkStart w:id="351" w:name="_Toc7851"/>
      <w:bookmarkStart w:id="352" w:name="_Toc10100"/>
      <w:bookmarkStart w:id="353" w:name="_Toc21875"/>
      <w:bookmarkStart w:id="354" w:name="_Toc20562"/>
      <w:bookmarkStart w:id="355" w:name="_Toc4399"/>
      <w:bookmarkStart w:id="356" w:name="_Toc317170195"/>
      <w:r>
        <w:rPr>
          <w:rFonts w:hint="default" w:ascii="Times New Roman" w:hAnsi="Times New Roman" w:eastAsia="方正仿宋_GBK" w:cs="Times New Roman"/>
          <w:color w:val="auto"/>
          <w:sz w:val="32"/>
          <w:szCs w:val="32"/>
          <w:highlight w:val="none"/>
        </w:rPr>
        <w:t>7.3.4  落实实施宣传阶段</w:t>
      </w:r>
      <w:bookmarkEnd w:id="350"/>
      <w:bookmarkEnd w:id="351"/>
      <w:bookmarkEnd w:id="352"/>
      <w:bookmarkEnd w:id="353"/>
      <w:bookmarkEnd w:id="354"/>
      <w:bookmarkEnd w:id="355"/>
      <w:bookmarkEnd w:id="356"/>
    </w:p>
    <w:p>
      <w:pPr>
        <w:ind w:firstLine="640"/>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（202</w:t>
      </w:r>
      <w:r>
        <w:rPr>
          <w:rFonts w:hint="default" w:ascii="Times New Roman" w:hAnsi="Times New Roman" w:eastAsia="方正仿宋_GBK" w:cs="Times New Roman"/>
          <w:b/>
          <w:bCs/>
          <w:color w:val="auto"/>
          <w:sz w:val="32"/>
          <w:szCs w:val="32"/>
          <w:highlight w:val="none"/>
          <w:lang w:val="en-US" w:eastAsia="zh-CN"/>
        </w:rPr>
        <w:t>5</w:t>
      </w:r>
      <w:r>
        <w:rPr>
          <w:rFonts w:hint="default" w:ascii="Times New Roman" w:hAnsi="Times New Roman" w:eastAsia="方正仿宋_GBK" w:cs="Times New Roman"/>
          <w:b/>
          <w:bCs/>
          <w:color w:val="auto"/>
          <w:sz w:val="32"/>
          <w:szCs w:val="32"/>
          <w:highlight w:val="none"/>
        </w:rPr>
        <w:t>年6月－9月）</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1.根据天气和负荷变化情况，适时在媒体上做好形势宣传，营造为保经济社会发展的良好、和谐供用电氛围。</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在宿迁电视台、宿迁晚报、宿迁广播电台、宿迁手机台等各类媒体上播放或刊登有关节约用电公益广告，主要包含节约用电的社会意义、空调负荷对电网的影响、节电先进典型和经验、节电小常识等，引导居民用户避峰用电。（6月下旬至8月中旬）</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3.在宿迁电视台的新闻类节目如《宿迁新闻》中公开曝光社会浪费电力能源的行为。（夏季高温季节）</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4.供电营业厅受理客户业务时，向客户免费发放节约用电、科学用电、节电新技术等各类用电宣传资料；供电营业厅播放PPT等节约用电宣传动画。（6月下旬至8月中旬）</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5.针对用电密度较高的居民小区，采用短信宣传和现场活动结合的方式，普及节约用电知识与技能，提倡“空调温度高一度，高峰关闭半小时”，重点引导该部分用户避峰用电。</w:t>
      </w:r>
    </w:p>
    <w:p>
      <w:pPr>
        <w:pStyle w:val="3"/>
        <w:keepNext w:val="0"/>
        <w:keepLines w:val="0"/>
        <w:numPr>
          <w:ilvl w:val="0"/>
          <w:numId w:val="0"/>
        </w:numPr>
        <w:spacing w:before="0" w:after="0" w:line="500" w:lineRule="exact"/>
        <w:rPr>
          <w:rFonts w:hint="default" w:ascii="Times New Roman" w:hAnsi="Times New Roman" w:eastAsia="方正黑体_GBK" w:cs="Times New Roman"/>
          <w:b w:val="0"/>
          <w:color w:val="auto"/>
          <w:kern w:val="2"/>
          <w:sz w:val="32"/>
          <w:highlight w:val="none"/>
        </w:rPr>
      </w:pPr>
      <w:bookmarkStart w:id="357" w:name="_Toc317170196"/>
      <w:bookmarkStart w:id="358" w:name="_Toc18851"/>
      <w:bookmarkStart w:id="359" w:name="_Toc20060"/>
      <w:bookmarkStart w:id="360" w:name="_Toc1585"/>
      <w:bookmarkStart w:id="361" w:name="_Toc451"/>
      <w:bookmarkStart w:id="362" w:name="_Toc1573"/>
      <w:bookmarkStart w:id="363" w:name="_Toc20554"/>
      <w:bookmarkStart w:id="364" w:name="_Toc23016"/>
      <w:r>
        <w:rPr>
          <w:rFonts w:hint="default" w:ascii="Times New Roman" w:hAnsi="Times New Roman" w:eastAsia="方正仿宋_GBK" w:cs="Times New Roman"/>
          <w:b w:val="0"/>
          <w:color w:val="auto"/>
          <w:kern w:val="2"/>
          <w:sz w:val="32"/>
          <w:highlight w:val="none"/>
        </w:rPr>
        <w:br w:type="page"/>
      </w:r>
      <w:r>
        <w:rPr>
          <w:rFonts w:hint="default" w:ascii="Times New Roman" w:hAnsi="Times New Roman" w:eastAsia="方正黑体_GBK" w:cs="Times New Roman"/>
          <w:b w:val="0"/>
          <w:color w:val="auto"/>
          <w:kern w:val="2"/>
          <w:sz w:val="32"/>
          <w:highlight w:val="none"/>
        </w:rPr>
        <w:t xml:space="preserve">第八章 </w:t>
      </w:r>
      <w:bookmarkEnd w:id="357"/>
      <w:bookmarkEnd w:id="358"/>
      <w:bookmarkEnd w:id="359"/>
      <w:r>
        <w:rPr>
          <w:rFonts w:hint="default" w:ascii="Times New Roman" w:hAnsi="Times New Roman" w:eastAsia="方正黑体_GBK" w:cs="Times New Roman"/>
          <w:b w:val="0"/>
          <w:color w:val="auto"/>
          <w:kern w:val="2"/>
          <w:sz w:val="32"/>
          <w:highlight w:val="none"/>
          <w:lang w:val="en-US" w:eastAsia="zh-CN"/>
        </w:rPr>
        <w:t xml:space="preserve"> </w:t>
      </w:r>
      <w:r>
        <w:rPr>
          <w:rFonts w:hint="default" w:ascii="Times New Roman" w:hAnsi="Times New Roman" w:eastAsia="方正黑体_GBK" w:cs="Times New Roman"/>
          <w:b w:val="0"/>
          <w:color w:val="auto"/>
          <w:kern w:val="2"/>
          <w:sz w:val="32"/>
          <w:highlight w:val="none"/>
        </w:rPr>
        <w:t>培训与演习</w:t>
      </w:r>
      <w:bookmarkEnd w:id="360"/>
      <w:bookmarkEnd w:id="361"/>
      <w:bookmarkEnd w:id="362"/>
      <w:bookmarkEnd w:id="363"/>
      <w:bookmarkEnd w:id="364"/>
    </w:p>
    <w:p>
      <w:pPr>
        <w:pStyle w:val="5"/>
        <w:ind w:firstLine="640"/>
        <w:rPr>
          <w:rFonts w:hint="default" w:ascii="Times New Roman" w:hAnsi="Times New Roman" w:eastAsia="方正仿宋_GBK" w:cs="Times New Roman"/>
          <w:color w:val="auto"/>
          <w:sz w:val="32"/>
          <w:szCs w:val="32"/>
          <w:highlight w:val="none"/>
        </w:rPr>
      </w:pPr>
      <w:bookmarkStart w:id="365" w:name="_Toc20897"/>
      <w:bookmarkStart w:id="366" w:name="_Toc25196"/>
      <w:bookmarkStart w:id="367" w:name="_Toc25133"/>
      <w:bookmarkStart w:id="368" w:name="_Toc25667"/>
      <w:bookmarkStart w:id="369" w:name="_Toc14775"/>
      <w:bookmarkStart w:id="370" w:name="_Toc21957"/>
      <w:bookmarkStart w:id="371" w:name="_Toc317170197"/>
      <w:bookmarkStart w:id="372" w:name="_Toc11772"/>
    </w:p>
    <w:p>
      <w:pPr>
        <w:pStyle w:val="5"/>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8.1  培训组织</w:t>
      </w:r>
      <w:bookmarkEnd w:id="365"/>
      <w:bookmarkEnd w:id="366"/>
      <w:bookmarkEnd w:id="367"/>
      <w:bookmarkEnd w:id="368"/>
      <w:bookmarkEnd w:id="369"/>
      <w:bookmarkEnd w:id="370"/>
      <w:bookmarkEnd w:id="371"/>
      <w:bookmarkEnd w:id="372"/>
    </w:p>
    <w:p>
      <w:pPr>
        <w:spacing w:line="490" w:lineRule="exact"/>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供电公司成立培训领导小组，由分管营销副总经理任组长，人力资源部主任、市场营销部主任任副组长。下设办公室，由公司人力资源部、市场营销部、调度控制中心、供电指挥服务中心相关人员组成。</w:t>
      </w:r>
    </w:p>
    <w:p>
      <w:pPr>
        <w:pStyle w:val="7"/>
        <w:rPr>
          <w:rFonts w:hint="default" w:ascii="Times New Roman" w:hAnsi="Times New Roman" w:eastAsia="方正仿宋_GBK" w:cs="Times New Roman"/>
          <w:color w:val="auto"/>
          <w:sz w:val="32"/>
          <w:szCs w:val="32"/>
          <w:highlight w:val="none"/>
        </w:rPr>
      </w:pPr>
      <w:bookmarkStart w:id="373" w:name="_Toc22398"/>
      <w:bookmarkStart w:id="374" w:name="_Toc6818"/>
      <w:bookmarkStart w:id="375" w:name="_Toc17065"/>
      <w:bookmarkStart w:id="376" w:name="_Toc24950"/>
      <w:bookmarkStart w:id="377" w:name="_Toc30299"/>
      <w:bookmarkStart w:id="378" w:name="_Toc317170198"/>
      <w:bookmarkStart w:id="379" w:name="_Toc31952"/>
      <w:r>
        <w:rPr>
          <w:rFonts w:hint="default" w:ascii="Times New Roman" w:hAnsi="Times New Roman" w:eastAsia="方正仿宋_GBK" w:cs="Times New Roman"/>
          <w:color w:val="auto"/>
          <w:sz w:val="32"/>
          <w:szCs w:val="32"/>
          <w:highlight w:val="none"/>
        </w:rPr>
        <w:t>8.1.1  培训内容</w:t>
      </w:r>
      <w:bookmarkEnd w:id="373"/>
      <w:bookmarkEnd w:id="374"/>
      <w:bookmarkEnd w:id="375"/>
      <w:bookmarkEnd w:id="376"/>
      <w:bookmarkEnd w:id="377"/>
      <w:bookmarkEnd w:id="378"/>
      <w:bookmarkEnd w:id="379"/>
    </w:p>
    <w:p>
      <w:pPr>
        <w:spacing w:line="490" w:lineRule="exact"/>
        <w:ind w:firstLine="640"/>
        <w:rPr>
          <w:rFonts w:hint="default" w:ascii="Times New Roman" w:hAnsi="Times New Roman" w:eastAsia="方正仿宋_GBK" w:cs="Times New Roman"/>
          <w:color w:val="auto"/>
          <w:sz w:val="32"/>
          <w:szCs w:val="32"/>
          <w:highlight w:val="none"/>
        </w:rPr>
      </w:pPr>
      <w:bookmarkStart w:id="380" w:name="_Toc30800"/>
      <w:bookmarkStart w:id="381" w:name="_Toc317170199"/>
      <w:r>
        <w:rPr>
          <w:rFonts w:hint="default" w:ascii="Times New Roman" w:hAnsi="Times New Roman" w:eastAsia="方正仿宋_GBK" w:cs="Times New Roman"/>
          <w:color w:val="auto"/>
          <w:sz w:val="32"/>
          <w:szCs w:val="32"/>
          <w:highlight w:val="none"/>
        </w:rPr>
        <w:t>主要培训内容包括：</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1.电力负荷管理相关工作要求及文件学习。</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2.当年度全省电力供需形势、宿迁市应急容量指标、电力负荷管理年度方案等。</w:t>
      </w:r>
    </w:p>
    <w:p>
      <w:pPr>
        <w:ind w:firstLine="640"/>
        <w:rPr>
          <w:rFonts w:hint="default" w:ascii="Times New Roman" w:hAnsi="Times New Roman" w:eastAsia="方正仿宋_GBK" w:cs="Times New Roman"/>
          <w:color w:val="auto"/>
          <w:spacing w:val="-6"/>
          <w:sz w:val="32"/>
          <w:szCs w:val="32"/>
          <w:highlight w:val="none"/>
        </w:rPr>
      </w:pPr>
      <w:r>
        <w:rPr>
          <w:rFonts w:hint="default" w:ascii="Times New Roman" w:hAnsi="Times New Roman" w:eastAsia="方正仿宋_GBK" w:cs="Times New Roman"/>
          <w:color w:val="auto"/>
          <w:sz w:val="32"/>
          <w:szCs w:val="32"/>
          <w:highlight w:val="none"/>
        </w:rPr>
        <w:t>3.电力负荷管理预案实施操作流程演练，电力用户信息</w:t>
      </w:r>
      <w:r>
        <w:rPr>
          <w:rFonts w:hint="default" w:ascii="Times New Roman" w:hAnsi="Times New Roman" w:eastAsia="方正仿宋_GBK" w:cs="Times New Roman"/>
          <w:color w:val="auto"/>
          <w:spacing w:val="-6"/>
          <w:sz w:val="32"/>
          <w:szCs w:val="32"/>
          <w:highlight w:val="none"/>
        </w:rPr>
        <w:t>采集系统、新型数字化电力供需互动管理平台功能使用培训。</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4.负荷管理系统功能使用培训，含电力负荷管理错峰操作流程、负荷管理系统喊话及信息发布、场终端在使用操作规范，终端常用的设置以及终端提示信息的含义、电力负荷</w:t>
      </w:r>
      <w:r>
        <w:rPr>
          <w:rFonts w:hint="eastAsia" w:ascii="Times New Roman" w:hAnsi="Times New Roman" w:eastAsia="方正仿宋_GBK" w:cs="Times New Roman"/>
          <w:color w:val="auto"/>
          <w:sz w:val="32"/>
          <w:szCs w:val="32"/>
          <w:highlight w:val="none"/>
          <w:lang w:eastAsia="zh-CN"/>
        </w:rPr>
        <w:t>管理</w:t>
      </w:r>
      <w:r>
        <w:rPr>
          <w:rFonts w:hint="default" w:ascii="Times New Roman" w:hAnsi="Times New Roman" w:eastAsia="方正仿宋_GBK" w:cs="Times New Roman"/>
          <w:color w:val="auto"/>
          <w:sz w:val="32"/>
          <w:szCs w:val="32"/>
          <w:highlight w:val="none"/>
        </w:rPr>
        <w:t>终端与开关隔离等相关功能培训。</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5.电力负荷管理督查方案的内容、实施方法及现场督查工作要求等。</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6.值班人员相关值班及技能培训。</w:t>
      </w:r>
    </w:p>
    <w:p>
      <w:pPr>
        <w:pStyle w:val="7"/>
        <w:rPr>
          <w:rFonts w:hint="default" w:ascii="Times New Roman" w:hAnsi="Times New Roman" w:eastAsia="方正仿宋_GBK" w:cs="Times New Roman"/>
          <w:color w:val="auto"/>
          <w:sz w:val="32"/>
          <w:szCs w:val="32"/>
          <w:highlight w:val="none"/>
        </w:rPr>
      </w:pPr>
      <w:bookmarkStart w:id="382" w:name="_Toc10087"/>
      <w:bookmarkStart w:id="383" w:name="_Toc29158"/>
      <w:bookmarkStart w:id="384" w:name="_Toc13075"/>
      <w:bookmarkStart w:id="385" w:name="_Toc2257"/>
      <w:bookmarkStart w:id="386" w:name="_Toc15453"/>
      <w:r>
        <w:rPr>
          <w:rFonts w:hint="default" w:ascii="Times New Roman" w:hAnsi="Times New Roman" w:eastAsia="方正仿宋_GBK" w:cs="Times New Roman"/>
          <w:color w:val="auto"/>
          <w:sz w:val="32"/>
          <w:szCs w:val="32"/>
          <w:highlight w:val="none"/>
        </w:rPr>
        <w:t>8.1.2  培训对象</w:t>
      </w:r>
      <w:bookmarkEnd w:id="380"/>
      <w:bookmarkEnd w:id="381"/>
      <w:bookmarkEnd w:id="382"/>
      <w:bookmarkEnd w:id="383"/>
      <w:bookmarkEnd w:id="384"/>
      <w:bookmarkEnd w:id="385"/>
      <w:bookmarkEnd w:id="386"/>
    </w:p>
    <w:p>
      <w:pPr>
        <w:spacing w:line="490" w:lineRule="exact"/>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培训对象：市县电力负荷管理中心人员、现场督察人员、电力用户责任人、现场调查人员等。</w:t>
      </w:r>
    </w:p>
    <w:p>
      <w:pPr>
        <w:pStyle w:val="7"/>
        <w:rPr>
          <w:rFonts w:hint="default" w:ascii="Times New Roman" w:hAnsi="Times New Roman" w:eastAsia="方正仿宋_GBK" w:cs="Times New Roman"/>
          <w:color w:val="auto"/>
          <w:sz w:val="32"/>
          <w:szCs w:val="32"/>
          <w:highlight w:val="none"/>
        </w:rPr>
      </w:pPr>
      <w:bookmarkStart w:id="387" w:name="_Toc317170200"/>
      <w:bookmarkStart w:id="388" w:name="_Toc6872"/>
      <w:bookmarkStart w:id="389" w:name="_Toc4275"/>
      <w:bookmarkStart w:id="390" w:name="_Toc31834"/>
      <w:bookmarkStart w:id="391" w:name="_Toc23045"/>
      <w:bookmarkStart w:id="392" w:name="_Toc25165"/>
      <w:bookmarkStart w:id="393" w:name="_Toc16340"/>
      <w:r>
        <w:rPr>
          <w:rFonts w:hint="default" w:ascii="Times New Roman" w:hAnsi="Times New Roman" w:eastAsia="方正仿宋_GBK" w:cs="Times New Roman"/>
          <w:color w:val="auto"/>
          <w:sz w:val="32"/>
          <w:szCs w:val="32"/>
          <w:highlight w:val="none"/>
        </w:rPr>
        <w:t xml:space="preserve">8.1.3 </w:t>
      </w:r>
      <w:bookmarkEnd w:id="387"/>
      <w:bookmarkEnd w:id="388"/>
      <w:r>
        <w:rPr>
          <w:rFonts w:hint="default" w:ascii="Times New Roman" w:hAnsi="Times New Roman" w:eastAsia="方正仿宋_GBK" w:cs="Times New Roman"/>
          <w:color w:val="auto"/>
          <w:sz w:val="32"/>
          <w:szCs w:val="32"/>
          <w:highlight w:val="none"/>
        </w:rPr>
        <w:t xml:space="preserve"> 培训形式</w:t>
      </w:r>
      <w:bookmarkEnd w:id="389"/>
      <w:bookmarkEnd w:id="390"/>
      <w:bookmarkEnd w:id="391"/>
      <w:bookmarkEnd w:id="392"/>
      <w:bookmarkEnd w:id="393"/>
    </w:p>
    <w:p>
      <w:pPr>
        <w:spacing w:line="490" w:lineRule="exact"/>
        <w:ind w:firstLine="640"/>
        <w:rPr>
          <w:rFonts w:hint="default" w:ascii="Times New Roman" w:hAnsi="Times New Roman" w:eastAsia="方正仿宋_GBK" w:cs="Times New Roman"/>
          <w:color w:val="auto"/>
          <w:sz w:val="32"/>
          <w:szCs w:val="32"/>
          <w:highlight w:val="none"/>
        </w:rPr>
      </w:pPr>
      <w:bookmarkStart w:id="394" w:name="_Toc317082458"/>
      <w:bookmarkStart w:id="395" w:name="_Toc317170201"/>
      <w:bookmarkStart w:id="396" w:name="_Toc317082361"/>
      <w:bookmarkStart w:id="397" w:name="_Toc2551"/>
      <w:r>
        <w:rPr>
          <w:rFonts w:hint="default" w:ascii="Times New Roman" w:hAnsi="Times New Roman" w:eastAsia="方正仿宋_GBK" w:cs="Times New Roman"/>
          <w:color w:val="auto"/>
          <w:sz w:val="32"/>
          <w:szCs w:val="32"/>
          <w:highlight w:val="none"/>
        </w:rPr>
        <w:t>针对培训涉及的对象，结合培训内容，培训方式将采用自学、集中授课等相结合的方式。</w:t>
      </w:r>
    </w:p>
    <w:p>
      <w:pPr>
        <w:ind w:firstLine="640"/>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1.自学</w:t>
      </w:r>
    </w:p>
    <w:p>
      <w:pPr>
        <w:spacing w:line="490" w:lineRule="exact"/>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将整理过的电力负荷管理相关文件规定、工作流程及标准、相关系统操作使用手册等发放给电力负荷管理相关人员，自行学习，其中电力负荷管理中心人员还要自学负控专业知识，并积极参加省公司组</w:t>
      </w:r>
      <w:r>
        <w:rPr>
          <w:rFonts w:hint="eastAsia" w:ascii="Times New Roman" w:hAnsi="Times New Roman" w:eastAsia="方正仿宋_GBK" w:cs="Times New Roman"/>
          <w:color w:val="auto"/>
          <w:sz w:val="32"/>
          <w:szCs w:val="32"/>
          <w:highlight w:val="none"/>
          <w:lang w:eastAsia="zh-CN"/>
        </w:rPr>
        <w:t>织的</w:t>
      </w:r>
      <w:r>
        <w:rPr>
          <w:rFonts w:hint="default" w:ascii="Times New Roman" w:hAnsi="Times New Roman" w:eastAsia="方正仿宋_GBK" w:cs="Times New Roman"/>
          <w:color w:val="auto"/>
          <w:sz w:val="32"/>
          <w:szCs w:val="32"/>
          <w:highlight w:val="none"/>
        </w:rPr>
        <w:t>负控专业单元制培训。</w:t>
      </w:r>
    </w:p>
    <w:p>
      <w:pPr>
        <w:ind w:firstLine="640"/>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2.集中授课</w:t>
      </w:r>
    </w:p>
    <w:p>
      <w:pPr>
        <w:spacing w:line="490" w:lineRule="exact"/>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针对全省及我市电力负荷管理供用电形势、电力负荷管理预案、错峰及轮休流程及相关操作系统采用集中培训的方式，以教师授课、培训人员实地操作、现场指导答疑等方式进行，每季度组织开展一次。</w:t>
      </w:r>
    </w:p>
    <w:p>
      <w:pPr>
        <w:pStyle w:val="5"/>
        <w:ind w:firstLine="640"/>
        <w:rPr>
          <w:rFonts w:hint="default" w:ascii="Times New Roman" w:hAnsi="Times New Roman" w:eastAsia="方正仿宋_GBK" w:cs="Times New Roman"/>
          <w:color w:val="auto"/>
          <w:sz w:val="32"/>
          <w:szCs w:val="32"/>
          <w:highlight w:val="none"/>
        </w:rPr>
      </w:pPr>
      <w:bookmarkStart w:id="398" w:name="_Toc30576"/>
      <w:bookmarkStart w:id="399" w:name="_Toc13763"/>
      <w:bookmarkStart w:id="400" w:name="_Toc25646"/>
      <w:bookmarkStart w:id="401" w:name="_Toc15457"/>
      <w:bookmarkStart w:id="402" w:name="_Toc19705"/>
      <w:bookmarkStart w:id="403" w:name="_Toc29079"/>
      <w:r>
        <w:rPr>
          <w:rFonts w:hint="default" w:ascii="Times New Roman" w:hAnsi="Times New Roman" w:eastAsia="方正仿宋_GBK" w:cs="Times New Roman"/>
          <w:color w:val="auto"/>
          <w:sz w:val="32"/>
          <w:szCs w:val="32"/>
          <w:highlight w:val="none"/>
        </w:rPr>
        <w:t>8.2  演习方案</w:t>
      </w:r>
      <w:bookmarkEnd w:id="394"/>
      <w:bookmarkEnd w:id="395"/>
      <w:bookmarkEnd w:id="396"/>
      <w:bookmarkEnd w:id="398"/>
      <w:bookmarkEnd w:id="399"/>
      <w:bookmarkEnd w:id="400"/>
      <w:bookmarkEnd w:id="401"/>
      <w:bookmarkEnd w:id="402"/>
      <w:bookmarkEnd w:id="403"/>
      <w:r>
        <w:rPr>
          <w:rFonts w:hint="default" w:ascii="Times New Roman" w:hAnsi="Times New Roman" w:eastAsia="方正仿宋_GBK" w:cs="Times New Roman"/>
          <w:color w:val="auto"/>
          <w:sz w:val="32"/>
          <w:szCs w:val="32"/>
          <w:highlight w:val="none"/>
        </w:rPr>
        <w:t xml:space="preserve"> </w:t>
      </w:r>
      <w:bookmarkEnd w:id="397"/>
    </w:p>
    <w:p>
      <w:pPr>
        <w:pStyle w:val="7"/>
        <w:rPr>
          <w:rFonts w:hint="default" w:ascii="Times New Roman" w:hAnsi="Times New Roman" w:eastAsia="方正仿宋_GBK" w:cs="Times New Roman"/>
          <w:color w:val="auto"/>
          <w:sz w:val="32"/>
          <w:szCs w:val="32"/>
          <w:highlight w:val="none"/>
        </w:rPr>
      </w:pPr>
      <w:bookmarkStart w:id="404" w:name="_Toc317170202"/>
      <w:bookmarkStart w:id="405" w:name="_Toc26137"/>
      <w:bookmarkStart w:id="406" w:name="_Toc25617"/>
      <w:bookmarkStart w:id="407" w:name="_Toc29714"/>
      <w:bookmarkStart w:id="408" w:name="_Toc4782"/>
      <w:bookmarkStart w:id="409" w:name="_Toc18277"/>
      <w:bookmarkStart w:id="410" w:name="_Toc10180"/>
      <w:r>
        <w:rPr>
          <w:rFonts w:hint="default" w:ascii="Times New Roman" w:hAnsi="Times New Roman" w:eastAsia="方正仿宋_GBK" w:cs="Times New Roman"/>
          <w:color w:val="auto"/>
          <w:sz w:val="32"/>
          <w:szCs w:val="32"/>
          <w:highlight w:val="none"/>
        </w:rPr>
        <w:t>8.2.1  前言</w:t>
      </w:r>
      <w:bookmarkEnd w:id="404"/>
      <w:bookmarkEnd w:id="405"/>
      <w:bookmarkEnd w:id="406"/>
      <w:bookmarkEnd w:id="407"/>
      <w:bookmarkEnd w:id="408"/>
      <w:bookmarkEnd w:id="409"/>
      <w:bookmarkEnd w:id="410"/>
    </w:p>
    <w:p>
      <w:pPr>
        <w:spacing w:line="490" w:lineRule="exact"/>
        <w:ind w:firstLine="640"/>
        <w:rPr>
          <w:rFonts w:hint="default" w:ascii="Times New Roman" w:hAnsi="Times New Roman" w:eastAsia="方正仿宋_GBK" w:cs="Times New Roman"/>
          <w:color w:val="auto"/>
          <w:sz w:val="32"/>
          <w:szCs w:val="32"/>
          <w:highlight w:val="none"/>
        </w:rPr>
      </w:pPr>
      <w:bookmarkStart w:id="411" w:name="_Toc317170203"/>
      <w:bookmarkStart w:id="412" w:name="_Toc491"/>
      <w:bookmarkStart w:id="413" w:name="_Toc8842"/>
      <w:r>
        <w:rPr>
          <w:rFonts w:hint="default" w:ascii="Times New Roman" w:hAnsi="Times New Roman" w:eastAsia="方正仿宋_GBK" w:cs="Times New Roman"/>
          <w:color w:val="auto"/>
          <w:sz w:val="32"/>
          <w:szCs w:val="32"/>
          <w:highlight w:val="none"/>
        </w:rPr>
        <w:t>为了应对迎峰度夏（冬）存在电力缺口，提升电力负荷管理工作的执行效率，特进行202</w:t>
      </w:r>
      <w:r>
        <w:rPr>
          <w:rFonts w:hint="default" w:ascii="Times New Roman" w:hAnsi="Times New Roman" w:eastAsia="方正仿宋_GBK" w:cs="Times New Roman"/>
          <w:color w:val="auto"/>
          <w:sz w:val="32"/>
          <w:szCs w:val="32"/>
          <w:highlight w:val="none"/>
          <w:lang w:val="en-US" w:eastAsia="zh-CN"/>
        </w:rPr>
        <w:t>5</w:t>
      </w:r>
      <w:r>
        <w:rPr>
          <w:rFonts w:hint="default" w:ascii="Times New Roman" w:hAnsi="Times New Roman" w:eastAsia="方正仿宋_GBK" w:cs="Times New Roman"/>
          <w:color w:val="auto"/>
          <w:sz w:val="32"/>
          <w:szCs w:val="32"/>
          <w:highlight w:val="none"/>
        </w:rPr>
        <w:t>年电力负荷管理演习，重点演练需求响应、电力负荷管理等应急处置流程，检验方案可靠性、有效性及联动快速处置能力。</w:t>
      </w:r>
    </w:p>
    <w:p>
      <w:pPr>
        <w:pStyle w:val="7"/>
        <w:rPr>
          <w:rFonts w:hint="default" w:ascii="Times New Roman" w:hAnsi="Times New Roman" w:eastAsia="方正仿宋_GBK" w:cs="Times New Roman"/>
          <w:color w:val="auto"/>
          <w:sz w:val="32"/>
          <w:szCs w:val="32"/>
          <w:highlight w:val="none"/>
        </w:rPr>
      </w:pPr>
      <w:bookmarkStart w:id="414" w:name="_Toc21434"/>
      <w:bookmarkStart w:id="415" w:name="_Toc3133"/>
      <w:bookmarkStart w:id="416" w:name="_Toc15046"/>
      <w:bookmarkStart w:id="417" w:name="_Toc574"/>
      <w:r>
        <w:rPr>
          <w:rFonts w:hint="default" w:ascii="Times New Roman" w:hAnsi="Times New Roman" w:eastAsia="方正仿宋_GBK" w:cs="Times New Roman"/>
          <w:color w:val="auto"/>
          <w:sz w:val="32"/>
          <w:szCs w:val="32"/>
          <w:highlight w:val="none"/>
        </w:rPr>
        <w:t>8.2.2  背景</w:t>
      </w:r>
      <w:bookmarkEnd w:id="411"/>
      <w:bookmarkEnd w:id="412"/>
      <w:bookmarkEnd w:id="413"/>
      <w:bookmarkEnd w:id="414"/>
      <w:bookmarkEnd w:id="415"/>
      <w:bookmarkEnd w:id="416"/>
      <w:bookmarkEnd w:id="417"/>
    </w:p>
    <w:p>
      <w:pPr>
        <w:spacing w:line="490" w:lineRule="exact"/>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电力工业是国民经济和社会发展的重要基础产业。电力安全事关经济发展大局，事关社会和谐稳定，事关百姓生活和生命财产安全。任何一次事故，都可能给社会带来无法挽回的损失，特别是电网大面积停电，对社会造成的危害和影响是难以估量的。为此，宿迁市制定了202</w:t>
      </w:r>
      <w:r>
        <w:rPr>
          <w:rFonts w:hint="default" w:ascii="Times New Roman" w:hAnsi="Times New Roman" w:eastAsia="方正仿宋_GBK" w:cs="Times New Roman"/>
          <w:color w:val="auto"/>
          <w:sz w:val="32"/>
          <w:szCs w:val="32"/>
          <w:highlight w:val="none"/>
          <w:lang w:val="en-US" w:eastAsia="zh-CN"/>
        </w:rPr>
        <w:t>5</w:t>
      </w:r>
      <w:r>
        <w:rPr>
          <w:rFonts w:hint="default" w:ascii="Times New Roman" w:hAnsi="Times New Roman" w:eastAsia="方正仿宋_GBK" w:cs="Times New Roman"/>
          <w:color w:val="auto"/>
          <w:sz w:val="32"/>
          <w:szCs w:val="32"/>
          <w:highlight w:val="none"/>
        </w:rPr>
        <w:t>年电力负荷管理预案，预案充分应对了电网突发性机组跳机、灾难天气、燃气机组缺气等多种情况下，电网将发生突发性、时段性、阶段性</w:t>
      </w:r>
      <w:r>
        <w:rPr>
          <w:rFonts w:hint="default" w:ascii="Times New Roman" w:hAnsi="Times New Roman" w:eastAsia="方正仿宋_GBK" w:cs="Times New Roman"/>
          <w:color w:val="auto"/>
          <w:sz w:val="32"/>
          <w:szCs w:val="32"/>
          <w:highlight w:val="none"/>
          <w:lang w:val="en-US" w:eastAsia="zh-CN"/>
        </w:rPr>
        <w:t>错峰</w:t>
      </w:r>
      <w:r>
        <w:rPr>
          <w:rFonts w:hint="default" w:ascii="Times New Roman" w:hAnsi="Times New Roman" w:eastAsia="方正仿宋_GBK" w:cs="Times New Roman"/>
          <w:color w:val="auto"/>
          <w:sz w:val="32"/>
          <w:szCs w:val="32"/>
          <w:highlight w:val="none"/>
        </w:rPr>
        <w:t>情况，为确保电网安全稳定运行，检验202</w:t>
      </w:r>
      <w:r>
        <w:rPr>
          <w:rFonts w:hint="default" w:ascii="Times New Roman" w:hAnsi="Times New Roman" w:eastAsia="方正仿宋_GBK" w:cs="Times New Roman"/>
          <w:color w:val="auto"/>
          <w:sz w:val="32"/>
          <w:szCs w:val="32"/>
          <w:highlight w:val="none"/>
          <w:lang w:val="en-US" w:eastAsia="zh-CN"/>
        </w:rPr>
        <w:t>5</w:t>
      </w:r>
      <w:r>
        <w:rPr>
          <w:rFonts w:hint="default" w:ascii="Times New Roman" w:hAnsi="Times New Roman" w:eastAsia="方正仿宋_GBK" w:cs="Times New Roman"/>
          <w:color w:val="auto"/>
          <w:sz w:val="32"/>
          <w:szCs w:val="32"/>
          <w:highlight w:val="none"/>
        </w:rPr>
        <w:t>年电力负荷管理预案的可操作性，提高应急处置能力，为做好我市的电力负荷管理工作，建立健全有效的电力负荷管理机制，确保社会电力供应正常秩序，尽最大可能减少损失，维护国家安全、社会稳定和人民群众利益。根据宿迁市电力负荷</w:t>
      </w:r>
      <w:r>
        <w:rPr>
          <w:rFonts w:hint="eastAsia" w:ascii="Times New Roman" w:hAnsi="Times New Roman" w:eastAsia="方正仿宋_GBK" w:cs="Times New Roman"/>
          <w:color w:val="auto"/>
          <w:sz w:val="32"/>
          <w:szCs w:val="32"/>
          <w:highlight w:val="none"/>
          <w:lang w:eastAsia="zh-CN"/>
        </w:rPr>
        <w:t>管理</w:t>
      </w:r>
      <w:r>
        <w:rPr>
          <w:rFonts w:hint="default" w:ascii="Times New Roman" w:hAnsi="Times New Roman" w:eastAsia="方正仿宋_GBK" w:cs="Times New Roman"/>
          <w:color w:val="auto"/>
          <w:sz w:val="32"/>
          <w:szCs w:val="32"/>
          <w:highlight w:val="none"/>
        </w:rPr>
        <w:t>部门办公室要求，我市将有针对性地开展202</w:t>
      </w:r>
      <w:r>
        <w:rPr>
          <w:rFonts w:hint="default" w:ascii="Times New Roman" w:hAnsi="Times New Roman" w:eastAsia="方正仿宋_GBK" w:cs="Times New Roman"/>
          <w:color w:val="auto"/>
          <w:sz w:val="32"/>
          <w:szCs w:val="32"/>
          <w:highlight w:val="none"/>
          <w:lang w:val="en-US" w:eastAsia="zh-CN"/>
        </w:rPr>
        <w:t>5</w:t>
      </w:r>
      <w:r>
        <w:rPr>
          <w:rFonts w:hint="default" w:ascii="Times New Roman" w:hAnsi="Times New Roman" w:eastAsia="方正仿宋_GBK" w:cs="Times New Roman"/>
          <w:color w:val="auto"/>
          <w:sz w:val="32"/>
          <w:szCs w:val="32"/>
          <w:highlight w:val="none"/>
        </w:rPr>
        <w:t>年电力负荷管理演习。</w:t>
      </w:r>
    </w:p>
    <w:p>
      <w:pPr>
        <w:pStyle w:val="7"/>
        <w:rPr>
          <w:rFonts w:hint="default" w:ascii="Times New Roman" w:hAnsi="Times New Roman" w:eastAsia="方正仿宋_GBK" w:cs="Times New Roman"/>
          <w:color w:val="auto"/>
          <w:sz w:val="32"/>
          <w:szCs w:val="32"/>
          <w:highlight w:val="none"/>
        </w:rPr>
      </w:pPr>
      <w:bookmarkStart w:id="418" w:name="_Toc866"/>
      <w:bookmarkStart w:id="419" w:name="_Toc4581"/>
      <w:bookmarkStart w:id="420" w:name="_Toc7168"/>
      <w:bookmarkStart w:id="421" w:name="_Toc317170204"/>
      <w:bookmarkStart w:id="422" w:name="_Toc7778"/>
      <w:bookmarkStart w:id="423" w:name="_Toc90"/>
      <w:bookmarkStart w:id="424" w:name="_Toc26677"/>
      <w:r>
        <w:rPr>
          <w:rFonts w:hint="default" w:ascii="Times New Roman" w:hAnsi="Times New Roman" w:eastAsia="方正仿宋_GBK" w:cs="Times New Roman"/>
          <w:color w:val="auto"/>
          <w:sz w:val="32"/>
          <w:szCs w:val="32"/>
          <w:highlight w:val="none"/>
        </w:rPr>
        <w:t>8.2.3  依据</w:t>
      </w:r>
      <w:bookmarkEnd w:id="418"/>
      <w:bookmarkEnd w:id="419"/>
      <w:bookmarkEnd w:id="420"/>
      <w:bookmarkEnd w:id="421"/>
      <w:bookmarkEnd w:id="422"/>
      <w:bookmarkEnd w:id="423"/>
      <w:bookmarkEnd w:id="424"/>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w:t>
      </w:r>
      <w:r>
        <w:rPr>
          <w:rFonts w:hint="eastAsia" w:ascii="Times New Roman" w:hAnsi="Times New Roman" w:eastAsia="方正仿宋_GBK" w:cs="Times New Roman"/>
          <w:color w:val="auto"/>
          <w:sz w:val="32"/>
          <w:szCs w:val="32"/>
          <w:highlight w:val="none"/>
          <w:lang w:eastAsia="zh-CN"/>
        </w:rPr>
        <w:t>中华人民共和国电力法</w:t>
      </w:r>
      <w:r>
        <w:rPr>
          <w:rFonts w:hint="default" w:ascii="Times New Roman" w:hAnsi="Times New Roman" w:eastAsia="方正仿宋_GBK" w:cs="Times New Roman"/>
          <w:color w:val="auto"/>
          <w:sz w:val="32"/>
          <w:szCs w:val="32"/>
          <w:highlight w:val="none"/>
        </w:rPr>
        <w:t>》；</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2.《电力供应与使用条例》；</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 xml:space="preserve">3. </w:t>
      </w:r>
      <w:r>
        <w:rPr>
          <w:rFonts w:hint="eastAsia" w:ascii="Times New Roman" w:hAnsi="Times New Roman" w:eastAsia="方正仿宋_GBK" w:cs="Times New Roman"/>
          <w:color w:val="auto"/>
          <w:sz w:val="32"/>
          <w:szCs w:val="32"/>
          <w:highlight w:val="none"/>
          <w:lang w:eastAsia="zh-CN"/>
        </w:rPr>
        <w:t>国家发展改革委</w:t>
      </w:r>
      <w:r>
        <w:rPr>
          <w:rFonts w:hint="default" w:ascii="Times New Roman" w:hAnsi="Times New Roman" w:eastAsia="方正仿宋_GBK" w:cs="Times New Roman"/>
          <w:color w:val="auto"/>
          <w:sz w:val="32"/>
          <w:szCs w:val="32"/>
          <w:highlight w:val="none"/>
        </w:rPr>
        <w:t>《电力负荷管理办法（2023年版）》；</w:t>
      </w:r>
    </w:p>
    <w:p>
      <w:pPr>
        <w:ind w:firstLine="640"/>
        <w:rPr>
          <w:rFonts w:hint="default" w:ascii="Times New Roman" w:hAnsi="Times New Roman" w:eastAsia="方正仿宋_GBK" w:cs="Times New Roman"/>
          <w:color w:val="auto"/>
          <w:sz w:val="32"/>
          <w:szCs w:val="32"/>
          <w:highlight w:val="none"/>
        </w:rPr>
      </w:pPr>
      <w:bookmarkStart w:id="425" w:name="_Toc10164"/>
      <w:bookmarkStart w:id="426" w:name="_Toc317170205"/>
      <w:r>
        <w:rPr>
          <w:rFonts w:hint="default" w:ascii="Times New Roman" w:hAnsi="Times New Roman" w:eastAsia="方正仿宋_GBK" w:cs="Times New Roman"/>
          <w:color w:val="auto"/>
          <w:sz w:val="32"/>
          <w:szCs w:val="32"/>
          <w:highlight w:val="none"/>
        </w:rPr>
        <w:t>4.《江苏省电力条例》；</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5.</w:t>
      </w:r>
      <w:r>
        <w:rPr>
          <w:rFonts w:hint="default" w:ascii="Times New Roman" w:hAnsi="Times New Roman" w:eastAsia="方正仿宋_GBK" w:cs="Times New Roman"/>
          <w:color w:val="auto"/>
          <w:sz w:val="32"/>
          <w:szCs w:val="32"/>
          <w:highlight w:val="none"/>
          <w:lang w:val="zh-CN"/>
        </w:rPr>
        <w:t>《省发展改革委关于做好202</w:t>
      </w:r>
      <w:r>
        <w:rPr>
          <w:rFonts w:hint="default" w:ascii="Times New Roman" w:hAnsi="Times New Roman" w:eastAsia="方正仿宋_GBK" w:cs="Times New Roman"/>
          <w:color w:val="auto"/>
          <w:sz w:val="32"/>
          <w:szCs w:val="32"/>
          <w:highlight w:val="none"/>
          <w:lang w:val="en-US" w:eastAsia="zh-CN"/>
        </w:rPr>
        <w:t>5</w:t>
      </w:r>
      <w:r>
        <w:rPr>
          <w:rFonts w:hint="default" w:ascii="Times New Roman" w:hAnsi="Times New Roman" w:eastAsia="方正仿宋_GBK" w:cs="Times New Roman"/>
          <w:color w:val="auto"/>
          <w:sz w:val="32"/>
          <w:szCs w:val="32"/>
          <w:highlight w:val="none"/>
          <w:lang w:val="zh-CN"/>
        </w:rPr>
        <w:t>年电力</w:t>
      </w:r>
      <w:r>
        <w:rPr>
          <w:rFonts w:hint="default" w:ascii="Times New Roman" w:hAnsi="Times New Roman" w:eastAsia="方正仿宋_GBK" w:cs="Times New Roman"/>
          <w:color w:val="auto"/>
          <w:sz w:val="32"/>
          <w:szCs w:val="32"/>
          <w:highlight w:val="none"/>
        </w:rPr>
        <w:t>负荷管理工作的</w:t>
      </w:r>
      <w:r>
        <w:rPr>
          <w:rFonts w:hint="default" w:ascii="Times New Roman" w:hAnsi="Times New Roman" w:eastAsia="方正仿宋_GBK" w:cs="Times New Roman"/>
          <w:color w:val="auto"/>
          <w:sz w:val="32"/>
          <w:szCs w:val="32"/>
          <w:highlight w:val="none"/>
          <w:lang w:val="zh-CN"/>
        </w:rPr>
        <w:t>通知》。</w:t>
      </w:r>
    </w:p>
    <w:p>
      <w:pPr>
        <w:pStyle w:val="7"/>
        <w:rPr>
          <w:rFonts w:hint="default" w:ascii="Times New Roman" w:hAnsi="Times New Roman" w:eastAsia="方正仿宋_GBK" w:cs="Times New Roman"/>
          <w:color w:val="auto"/>
          <w:sz w:val="32"/>
          <w:szCs w:val="32"/>
          <w:highlight w:val="none"/>
        </w:rPr>
      </w:pPr>
      <w:bookmarkStart w:id="427" w:name="_Toc16465"/>
      <w:bookmarkStart w:id="428" w:name="_Toc3436"/>
      <w:bookmarkStart w:id="429" w:name="_Toc27059"/>
      <w:bookmarkStart w:id="430" w:name="_Toc11241"/>
      <w:bookmarkStart w:id="431" w:name="_Toc30723"/>
      <w:r>
        <w:rPr>
          <w:rFonts w:hint="default" w:ascii="Times New Roman" w:hAnsi="Times New Roman" w:eastAsia="方正仿宋_GBK" w:cs="Times New Roman"/>
          <w:color w:val="auto"/>
          <w:sz w:val="32"/>
          <w:szCs w:val="32"/>
          <w:highlight w:val="none"/>
        </w:rPr>
        <w:t>8.2.4  演习目的和意义</w:t>
      </w:r>
      <w:bookmarkEnd w:id="425"/>
      <w:bookmarkEnd w:id="426"/>
      <w:bookmarkEnd w:id="427"/>
      <w:bookmarkEnd w:id="428"/>
      <w:bookmarkEnd w:id="429"/>
      <w:bookmarkEnd w:id="430"/>
      <w:bookmarkEnd w:id="431"/>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1.通过演习，增强企业的应急意识、社会责任意识和内部应急能力，提高全社会处置缺电事件快速反应、整体联动的能力，实现社会预警、社会动员、社会安定。</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2.通过本次演习，增强供电公司调度、营销、督察、有关企业之间协作和配合能力。</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3.针对2024年江苏电网可能出现的缺电局面，通过电力应急预案实施演习，检验预案效果以及电网信息传递的正确性与及时性。</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4.通过演习，考验和检验我市电力负荷管理机制和体系的合理性和有效性，并从中提出改进的措施和办法，进一步完善、细化电力负荷管理预案，指导实际工作。</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5.通过演习，锻炼电力应急管理队伍，不断提高电力负荷管理处理要领，为一旦发生电</w:t>
      </w:r>
      <w:r>
        <w:rPr>
          <w:rFonts w:hint="default" w:ascii="Times New Roman" w:hAnsi="Times New Roman" w:eastAsia="方正仿宋_GBK" w:cs="Times New Roman"/>
          <w:color w:val="auto"/>
          <w:sz w:val="32"/>
          <w:szCs w:val="32"/>
          <w:highlight w:val="none"/>
          <w:lang w:val="en-US" w:eastAsia="zh-CN"/>
        </w:rPr>
        <w:t>力缺口</w:t>
      </w:r>
      <w:r>
        <w:rPr>
          <w:rFonts w:hint="default" w:ascii="Times New Roman" w:hAnsi="Times New Roman" w:eastAsia="方正仿宋_GBK" w:cs="Times New Roman"/>
          <w:color w:val="auto"/>
          <w:sz w:val="32"/>
          <w:szCs w:val="32"/>
          <w:highlight w:val="none"/>
        </w:rPr>
        <w:t>时能快速有效处置和把损失降到最低限度而积累经验。</w:t>
      </w:r>
    </w:p>
    <w:p>
      <w:pPr>
        <w:pStyle w:val="7"/>
        <w:rPr>
          <w:rFonts w:hint="default" w:ascii="Times New Roman" w:hAnsi="Times New Roman" w:eastAsia="方正仿宋_GBK" w:cs="Times New Roman"/>
          <w:color w:val="auto"/>
          <w:sz w:val="32"/>
          <w:szCs w:val="32"/>
          <w:highlight w:val="none"/>
        </w:rPr>
      </w:pPr>
      <w:bookmarkStart w:id="432" w:name="_Toc317170206"/>
      <w:bookmarkStart w:id="433" w:name="_Toc2081"/>
      <w:bookmarkStart w:id="434" w:name="_Toc21920"/>
      <w:bookmarkStart w:id="435" w:name="_Toc25411"/>
      <w:bookmarkStart w:id="436" w:name="_Toc21846"/>
      <w:bookmarkStart w:id="437" w:name="_Toc933"/>
      <w:bookmarkStart w:id="438" w:name="_Toc7011"/>
      <w:r>
        <w:rPr>
          <w:rFonts w:hint="default" w:ascii="Times New Roman" w:hAnsi="Times New Roman" w:eastAsia="方正仿宋_GBK" w:cs="Times New Roman"/>
          <w:color w:val="auto"/>
          <w:sz w:val="32"/>
          <w:szCs w:val="32"/>
          <w:highlight w:val="none"/>
        </w:rPr>
        <w:t>8.2.5  演习基本原则</w:t>
      </w:r>
      <w:bookmarkEnd w:id="432"/>
      <w:bookmarkEnd w:id="433"/>
      <w:bookmarkEnd w:id="434"/>
      <w:bookmarkEnd w:id="435"/>
      <w:bookmarkEnd w:id="436"/>
      <w:bookmarkEnd w:id="437"/>
      <w:bookmarkEnd w:id="438"/>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1.必须遵循安全第一、组织严密、措施有效的原则，确保演习安全；</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2.必须从实战出发，要有针对性、代表性，以高耗能、高污染企业为主，确保演习效果；</w:t>
      </w:r>
    </w:p>
    <w:p>
      <w:pPr>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3.采用统一领导、统一布置，分级负责、上下联动方法，确保演习成功。</w:t>
      </w:r>
    </w:p>
    <w:p>
      <w:pPr>
        <w:pStyle w:val="7"/>
        <w:rPr>
          <w:rFonts w:hint="default" w:ascii="Times New Roman" w:hAnsi="Times New Roman" w:eastAsia="方正仿宋_GBK" w:cs="Times New Roman"/>
          <w:color w:val="auto"/>
          <w:sz w:val="32"/>
          <w:szCs w:val="32"/>
          <w:highlight w:val="none"/>
        </w:rPr>
      </w:pPr>
      <w:bookmarkStart w:id="439" w:name="_Toc24055"/>
      <w:bookmarkStart w:id="440" w:name="_Toc10667"/>
      <w:bookmarkStart w:id="441" w:name="_Toc18857"/>
      <w:bookmarkStart w:id="442" w:name="_Toc25655"/>
      <w:bookmarkStart w:id="443" w:name="_Toc3078"/>
      <w:bookmarkStart w:id="444" w:name="_Toc17204"/>
      <w:bookmarkStart w:id="445" w:name="_Toc317170207"/>
      <w:r>
        <w:rPr>
          <w:rFonts w:hint="default" w:ascii="Times New Roman" w:hAnsi="Times New Roman" w:eastAsia="方正仿宋_GBK" w:cs="Times New Roman"/>
          <w:color w:val="auto"/>
          <w:sz w:val="32"/>
          <w:szCs w:val="32"/>
          <w:highlight w:val="none"/>
        </w:rPr>
        <w:t>8.2.6  演习安排</w:t>
      </w:r>
      <w:bookmarkEnd w:id="439"/>
      <w:bookmarkEnd w:id="440"/>
      <w:bookmarkEnd w:id="441"/>
      <w:bookmarkEnd w:id="442"/>
      <w:bookmarkEnd w:id="443"/>
      <w:bookmarkEnd w:id="444"/>
      <w:bookmarkEnd w:id="445"/>
    </w:p>
    <w:p>
      <w:pPr>
        <w:ind w:firstLine="640"/>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1.参加单位</w:t>
      </w:r>
    </w:p>
    <w:p>
      <w:pPr>
        <w:spacing w:line="490" w:lineRule="exact"/>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宿迁市电力负荷</w:t>
      </w:r>
      <w:r>
        <w:rPr>
          <w:rFonts w:hint="eastAsia" w:ascii="Times New Roman" w:hAnsi="Times New Roman" w:eastAsia="方正仿宋_GBK" w:cs="Times New Roman"/>
          <w:color w:val="auto"/>
          <w:sz w:val="32"/>
          <w:szCs w:val="32"/>
          <w:highlight w:val="none"/>
          <w:lang w:eastAsia="zh-CN"/>
        </w:rPr>
        <w:t>管理</w:t>
      </w:r>
      <w:r>
        <w:rPr>
          <w:rFonts w:hint="default" w:ascii="Times New Roman" w:hAnsi="Times New Roman" w:eastAsia="方正仿宋_GBK" w:cs="Times New Roman"/>
          <w:color w:val="auto"/>
          <w:sz w:val="32"/>
          <w:szCs w:val="32"/>
          <w:highlight w:val="none"/>
        </w:rPr>
        <w:t xml:space="preserve">部门办公室、县、区政府、供电公司相关部门、有关预案用户，各基层供电公司。  </w:t>
      </w:r>
    </w:p>
    <w:p>
      <w:pPr>
        <w:ind w:firstLine="640"/>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2.参加演习人员</w:t>
      </w:r>
    </w:p>
    <w:p>
      <w:pPr>
        <w:spacing w:line="490" w:lineRule="exact"/>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总指挥：潘裕晓</w:t>
      </w:r>
    </w:p>
    <w:p>
      <w:pPr>
        <w:spacing w:line="490" w:lineRule="exact"/>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总导演：陈  成</w:t>
      </w:r>
    </w:p>
    <w:p>
      <w:pPr>
        <w:spacing w:line="490" w:lineRule="exact"/>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导  演：李明昌、</w:t>
      </w:r>
      <w:r>
        <w:rPr>
          <w:rFonts w:hint="default" w:ascii="Times New Roman" w:hAnsi="Times New Roman" w:eastAsia="方正仿宋_GBK" w:cs="Times New Roman"/>
          <w:color w:val="auto"/>
          <w:sz w:val="32"/>
          <w:szCs w:val="32"/>
          <w:highlight w:val="none"/>
          <w:lang w:eastAsia="zh-CN"/>
        </w:rPr>
        <w:t>王鹏翔</w:t>
      </w:r>
      <w:r>
        <w:rPr>
          <w:rFonts w:hint="default" w:ascii="Times New Roman" w:hAnsi="Times New Roman" w:eastAsia="方正仿宋_GBK" w:cs="Times New Roman"/>
          <w:color w:val="auto"/>
          <w:sz w:val="32"/>
          <w:szCs w:val="32"/>
          <w:highlight w:val="none"/>
        </w:rPr>
        <w:t>、何新玉、周 军</w:t>
      </w:r>
    </w:p>
    <w:p>
      <w:pPr>
        <w:spacing w:line="490" w:lineRule="exact"/>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演习人员：供电公司电力调度控制中心、市场营销部、</w:t>
      </w:r>
      <w:r>
        <w:rPr>
          <w:rFonts w:hint="default" w:ascii="Times New Roman" w:hAnsi="Times New Roman" w:eastAsia="方正仿宋_GBK" w:cs="Times New Roman"/>
          <w:color w:val="auto"/>
          <w:sz w:val="32"/>
          <w:szCs w:val="32"/>
          <w:highlight w:val="none"/>
          <w:lang w:eastAsia="zh-CN"/>
        </w:rPr>
        <w:t>营销服务中心</w:t>
      </w:r>
      <w:r>
        <w:rPr>
          <w:rFonts w:hint="default" w:ascii="Times New Roman" w:hAnsi="Times New Roman" w:eastAsia="方正仿宋_GBK" w:cs="Times New Roman"/>
          <w:color w:val="auto"/>
          <w:sz w:val="32"/>
          <w:szCs w:val="32"/>
          <w:highlight w:val="none"/>
        </w:rPr>
        <w:t>、供电服务指挥中心相关人员，县、区政府、相关责任企业责任人、联系人，供电公司相关责任人，供电公司通信、车辆等有关后勤保障人员。</w:t>
      </w:r>
    </w:p>
    <w:p>
      <w:pPr>
        <w:ind w:firstLine="640"/>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3.演习时间、地点安排</w:t>
      </w:r>
    </w:p>
    <w:p>
      <w:pPr>
        <w:spacing w:line="490" w:lineRule="exact"/>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初步定于202</w:t>
      </w:r>
      <w:r>
        <w:rPr>
          <w:rFonts w:hint="default" w:ascii="Times New Roman" w:hAnsi="Times New Roman" w:eastAsia="方正仿宋_GBK" w:cs="Times New Roman"/>
          <w:color w:val="auto"/>
          <w:sz w:val="32"/>
          <w:szCs w:val="32"/>
          <w:highlight w:val="none"/>
          <w:lang w:val="en-US" w:eastAsia="zh-CN"/>
        </w:rPr>
        <w:t>5</w:t>
      </w:r>
      <w:r>
        <w:rPr>
          <w:rFonts w:hint="default" w:ascii="Times New Roman" w:hAnsi="Times New Roman" w:eastAsia="方正仿宋_GBK" w:cs="Times New Roman"/>
          <w:color w:val="auto"/>
          <w:sz w:val="32"/>
          <w:szCs w:val="32"/>
          <w:highlight w:val="none"/>
        </w:rPr>
        <w:t>年6月中旬，具体时间另行通知。</w:t>
      </w:r>
    </w:p>
    <w:p>
      <w:pPr>
        <w:ind w:firstLine="640"/>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4.演习方式</w:t>
      </w:r>
    </w:p>
    <w:p>
      <w:pPr>
        <w:spacing w:line="490" w:lineRule="exact"/>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为减轻演习组织、协调工作难度，节约演习人力、物力，本次演习采取市供电公司设置演习主会场，各县公司设置演习分会场，供电公司督查人员事先全部在演习企业现场。针对同一错避峰事件，供电公司系统各单位在同一时间进行演习，演习情况通过演习电话回放。</w:t>
      </w:r>
    </w:p>
    <w:p>
      <w:pPr>
        <w:pStyle w:val="7"/>
        <w:rPr>
          <w:rFonts w:hint="default" w:ascii="Times New Roman" w:hAnsi="Times New Roman" w:eastAsia="方正仿宋_GBK" w:cs="Times New Roman"/>
          <w:color w:val="auto"/>
          <w:sz w:val="32"/>
          <w:szCs w:val="32"/>
          <w:highlight w:val="none"/>
        </w:rPr>
      </w:pPr>
      <w:bookmarkStart w:id="446" w:name="_Toc2070"/>
      <w:bookmarkStart w:id="447" w:name="_Toc847"/>
      <w:bookmarkStart w:id="448" w:name="_Toc10168"/>
      <w:bookmarkStart w:id="449" w:name="_Toc1729"/>
      <w:bookmarkStart w:id="450" w:name="_Toc9801"/>
      <w:bookmarkStart w:id="451" w:name="_Toc317170208"/>
      <w:r>
        <w:rPr>
          <w:rFonts w:hint="default" w:ascii="Times New Roman" w:hAnsi="Times New Roman" w:eastAsia="方正仿宋_GBK" w:cs="Times New Roman"/>
          <w:color w:val="auto"/>
          <w:sz w:val="32"/>
          <w:szCs w:val="32"/>
          <w:highlight w:val="none"/>
        </w:rPr>
        <w:t>8.2.7  演习要求</w:t>
      </w:r>
      <w:bookmarkEnd w:id="446"/>
      <w:bookmarkEnd w:id="447"/>
      <w:bookmarkEnd w:id="448"/>
      <w:bookmarkEnd w:id="449"/>
      <w:bookmarkEnd w:id="450"/>
      <w:bookmarkEnd w:id="451"/>
    </w:p>
    <w:p>
      <w:pPr>
        <w:spacing w:line="490" w:lineRule="exact"/>
        <w:ind w:firstLine="640"/>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1.对演习准备工作的要求</w:t>
      </w:r>
    </w:p>
    <w:p>
      <w:pPr>
        <w:spacing w:line="490" w:lineRule="exact"/>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（1）为确保本次演习收到实际效果，各参演部门和相关人员应对演习方案严格保密，演习内容的酝酿、策划及准备工作仅限于参演指挥、导演，指挥和导演组成应相对固定。禁止透露任何演习内容。</w:t>
      </w:r>
    </w:p>
    <w:p>
      <w:pPr>
        <w:spacing w:line="490" w:lineRule="exact"/>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（2）演习内容的编制要结合宿迁本部的实际情况，做到整个演习在实际操作时间内，本单位参演人员完成适当的操作和处理任务。</w:t>
      </w:r>
    </w:p>
    <w:p>
      <w:pPr>
        <w:spacing w:line="490" w:lineRule="exact"/>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（3）演习指挥至少应准备一部手机；导演应至少准备一部开放本地网功能的行政电话和一部手机，被演人员应准备好上报的企业联系表中号码的手机。模拟演习期间，</w:t>
      </w:r>
      <w:r>
        <w:rPr>
          <w:rFonts w:hint="eastAsia" w:ascii="Times New Roman" w:hAnsi="Times New Roman" w:eastAsia="方正仿宋_GBK" w:cs="Times New Roman"/>
          <w:color w:val="auto"/>
          <w:sz w:val="32"/>
          <w:szCs w:val="32"/>
          <w:highlight w:val="none"/>
          <w:lang w:eastAsia="zh-CN"/>
        </w:rPr>
        <w:t>所有通信</w:t>
      </w:r>
      <w:r>
        <w:rPr>
          <w:rFonts w:hint="default" w:ascii="Times New Roman" w:hAnsi="Times New Roman" w:eastAsia="方正仿宋_GBK" w:cs="Times New Roman"/>
          <w:color w:val="auto"/>
          <w:sz w:val="32"/>
          <w:szCs w:val="32"/>
          <w:highlight w:val="none"/>
        </w:rPr>
        <w:t>通道应保持畅通。</w:t>
      </w:r>
    </w:p>
    <w:p>
      <w:pPr>
        <w:spacing w:line="490" w:lineRule="exact"/>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（4）演习、导演电话于演习前两天调试完毕，于演习前两天熟悉演习场地，第一次试演习电话及导演电话。演习当天各部门和单位演习人员及通讯负责人提前一小时进入演习场地第二次试电话并对时。</w:t>
      </w:r>
    </w:p>
    <w:p>
      <w:pPr>
        <w:spacing w:line="490" w:lineRule="exact"/>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（5）演习电话必须与实时运行电话隔离，演习场地也应尽量远离实际调度控制台和负荷控制台。演习地点与实际运行控制台之间必须有明显隔离带。</w:t>
      </w:r>
    </w:p>
    <w:p>
      <w:pPr>
        <w:spacing w:line="490" w:lineRule="exact"/>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（6）演习室必须安装电话回放设备，以保证导演及现场观摩人员能实时监听到被演人员的通话情况。</w:t>
      </w:r>
    </w:p>
    <w:p>
      <w:pPr>
        <w:spacing w:line="490" w:lineRule="exact"/>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（7）各部门和单位演习方案、人员名单、参演电话在演习前5天报市电力负荷</w:t>
      </w:r>
      <w:r>
        <w:rPr>
          <w:rFonts w:hint="eastAsia" w:ascii="Times New Roman" w:hAnsi="Times New Roman" w:eastAsia="方正仿宋_GBK" w:cs="Times New Roman"/>
          <w:color w:val="auto"/>
          <w:sz w:val="32"/>
          <w:szCs w:val="32"/>
          <w:highlight w:val="none"/>
          <w:lang w:eastAsia="zh-CN"/>
        </w:rPr>
        <w:t>管理</w:t>
      </w:r>
      <w:r>
        <w:rPr>
          <w:rFonts w:hint="default" w:ascii="Times New Roman" w:hAnsi="Times New Roman" w:eastAsia="方正仿宋_GBK" w:cs="Times New Roman"/>
          <w:color w:val="auto"/>
          <w:sz w:val="32"/>
          <w:szCs w:val="32"/>
          <w:highlight w:val="none"/>
        </w:rPr>
        <w:t>工作小组办公室汇总。</w:t>
      </w:r>
    </w:p>
    <w:p>
      <w:pPr>
        <w:spacing w:line="490" w:lineRule="exact"/>
        <w:ind w:firstLine="640"/>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2.对演习实施工作的要求</w:t>
      </w:r>
    </w:p>
    <w:p>
      <w:pPr>
        <w:spacing w:line="490" w:lineRule="exact"/>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本次演习只模拟，不操作。调度、供职值班人员、电力负荷管理中心人员进行模拟操作时，应按照实际操作的规范进行。应有专人对参演人员进行监护，监护人员应落实到位，确保参演人员不对设备进行实际操作。</w:t>
      </w:r>
    </w:p>
    <w:p>
      <w:pPr>
        <w:spacing w:line="490" w:lineRule="exact"/>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（2）所有观摩演习人员，必须在指定范围内进行观摩，不得影响和干预演习的正常进行。</w:t>
      </w:r>
    </w:p>
    <w:p>
      <w:pPr>
        <w:spacing w:line="490" w:lineRule="exact"/>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（3）参演单位应按照演习方案中的规定，设定各次电网事故控制负荷、临时调整用电计划以及</w:t>
      </w:r>
      <w:r>
        <w:rPr>
          <w:rFonts w:hint="eastAsia" w:ascii="Times New Roman" w:hAnsi="Times New Roman" w:eastAsia="方正仿宋_GBK" w:cs="Times New Roman"/>
          <w:color w:val="auto"/>
          <w:sz w:val="32"/>
          <w:szCs w:val="32"/>
          <w:highlight w:val="none"/>
          <w:lang w:eastAsia="zh-CN"/>
        </w:rPr>
        <w:t>其他情况的</w:t>
      </w:r>
      <w:r>
        <w:rPr>
          <w:rFonts w:hint="default" w:ascii="Times New Roman" w:hAnsi="Times New Roman" w:eastAsia="方正仿宋_GBK" w:cs="Times New Roman"/>
          <w:color w:val="auto"/>
          <w:sz w:val="32"/>
          <w:szCs w:val="32"/>
          <w:highlight w:val="none"/>
        </w:rPr>
        <w:t>发生时间及现象。对上下级调度及负控演习内容的相关部分，在其开始前，导演应与上下级调度导演联系。</w:t>
      </w:r>
    </w:p>
    <w:p>
      <w:pPr>
        <w:spacing w:line="490" w:lineRule="exact"/>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4）参演导演负责本单位演习和整体演习间的协调工作，演习内容全部结束后及时向演习总指挥和其他相关部门汇报并简要说明演习情况（演习经过、效果、在线监测工况、参加演习人数和有无失误等）演习结束后离场须得到电力负荷管理办公室导演同意。</w:t>
      </w:r>
    </w:p>
    <w:p>
      <w:pPr>
        <w:spacing w:line="490" w:lineRule="exact"/>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（5）演习实际进行时，参演人员可参阅有关规定，还应向参演人员提供必要的文件资料。</w:t>
      </w:r>
    </w:p>
    <w:p>
      <w:pPr>
        <w:spacing w:line="490" w:lineRule="exact"/>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（6）演习实际进行时，必须有通信专业人员在场，以保障整个演习通信畅通。</w:t>
      </w:r>
    </w:p>
    <w:p>
      <w:pPr>
        <w:spacing w:line="490" w:lineRule="exact"/>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（7）演习过程由供电公司新闻中心全程跟踪、报道。</w:t>
      </w:r>
    </w:p>
    <w:p>
      <w:pPr>
        <w:spacing w:line="490" w:lineRule="exact"/>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（8）演习导演书面上报演习情况，包括电力负荷管理预案落实、方案实施流程及效果、应急方案以及在演习中碰到的问题。</w:t>
      </w:r>
    </w:p>
    <w:p>
      <w:pPr>
        <w:pStyle w:val="5"/>
        <w:numPr>
          <w:ilvl w:val="0"/>
          <w:numId w:val="0"/>
        </w:numPr>
        <w:tabs>
          <w:tab w:val="left" w:pos="432"/>
          <w:tab w:val="left" w:pos="576"/>
        </w:tabs>
        <w:spacing w:before="0" w:after="0" w:line="490" w:lineRule="exact"/>
        <w:ind w:firstLine="643" w:firstLineChars="200"/>
        <w:rPr>
          <w:rFonts w:hint="default" w:ascii="Times New Roman" w:hAnsi="Times New Roman" w:eastAsia="方正仿宋_GBK" w:cs="Times New Roman"/>
          <w:color w:val="auto"/>
          <w:kern w:val="44"/>
          <w:sz w:val="32"/>
          <w:szCs w:val="32"/>
          <w:highlight w:val="none"/>
        </w:rPr>
      </w:pPr>
      <w:bookmarkStart w:id="452" w:name="_Toc317170209"/>
      <w:bookmarkStart w:id="453" w:name="_Toc27536"/>
      <w:bookmarkStart w:id="454" w:name="_Toc23745"/>
      <w:bookmarkStart w:id="455" w:name="_Toc30"/>
      <w:bookmarkStart w:id="456" w:name="_Toc28000"/>
      <w:bookmarkStart w:id="457" w:name="_Toc8101"/>
      <w:bookmarkStart w:id="458" w:name="_Toc8065"/>
      <w:bookmarkStart w:id="459" w:name="_Toc286650303"/>
      <w:r>
        <w:rPr>
          <w:rFonts w:hint="default" w:ascii="Times New Roman" w:hAnsi="Times New Roman" w:eastAsia="方正仿宋_GBK" w:cs="Times New Roman"/>
          <w:color w:val="auto"/>
          <w:kern w:val="44"/>
          <w:sz w:val="32"/>
          <w:szCs w:val="32"/>
          <w:highlight w:val="none"/>
        </w:rPr>
        <w:t>8.2.8  演习内容</w:t>
      </w:r>
      <w:bookmarkEnd w:id="452"/>
      <w:bookmarkEnd w:id="453"/>
      <w:bookmarkEnd w:id="454"/>
      <w:bookmarkEnd w:id="455"/>
      <w:bookmarkEnd w:id="456"/>
      <w:bookmarkEnd w:id="457"/>
      <w:bookmarkEnd w:id="458"/>
    </w:p>
    <w:bookmarkEnd w:id="459"/>
    <w:p>
      <w:pPr>
        <w:spacing w:line="490" w:lineRule="exact"/>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演习共分为电力负荷管理执行前准备工作、电力负荷管理指令执行、负荷释放、领导点评四个阶段。</w:t>
      </w:r>
    </w:p>
    <w:p>
      <w:pPr>
        <w:spacing w:line="490" w:lineRule="exact"/>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b/>
          <w:bCs/>
          <w:color w:val="auto"/>
          <w:sz w:val="32"/>
          <w:szCs w:val="32"/>
          <w:highlight w:val="none"/>
        </w:rPr>
        <w:t>1.电力负荷管理执行前准备阶段。</w:t>
      </w:r>
      <w:r>
        <w:rPr>
          <w:rFonts w:hint="default" w:ascii="Times New Roman" w:hAnsi="Times New Roman" w:eastAsia="方正仿宋_GBK" w:cs="Times New Roman"/>
          <w:color w:val="auto"/>
          <w:sz w:val="32"/>
          <w:szCs w:val="32"/>
          <w:highlight w:val="none"/>
        </w:rPr>
        <w:t>本段演习提前开演，现场采用视频回放形式展现，时长约5分钟。</w:t>
      </w:r>
    </w:p>
    <w:p>
      <w:pPr>
        <w:spacing w:line="490" w:lineRule="exact"/>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地调在接到省调通知次日执行限额用电；地调通知营销部门各县区限额及</w:t>
      </w:r>
      <w:r>
        <w:rPr>
          <w:rFonts w:hint="default" w:ascii="Times New Roman" w:hAnsi="Times New Roman" w:eastAsia="方正仿宋_GBK" w:cs="Times New Roman"/>
          <w:color w:val="auto"/>
          <w:sz w:val="32"/>
          <w:szCs w:val="32"/>
          <w:highlight w:val="none"/>
          <w:lang w:val="en-US" w:eastAsia="zh-CN"/>
        </w:rPr>
        <w:t>电力</w:t>
      </w:r>
      <w:r>
        <w:rPr>
          <w:rFonts w:hint="default" w:ascii="Times New Roman" w:hAnsi="Times New Roman" w:eastAsia="方正仿宋_GBK" w:cs="Times New Roman"/>
          <w:color w:val="auto"/>
          <w:sz w:val="32"/>
          <w:szCs w:val="32"/>
          <w:highlight w:val="none"/>
        </w:rPr>
        <w:t>缺口；营销部分解各县区电力负荷管理指标，报告发改委限额及</w:t>
      </w:r>
      <w:r>
        <w:rPr>
          <w:rFonts w:hint="default" w:ascii="Times New Roman" w:hAnsi="Times New Roman" w:eastAsia="方正仿宋_GBK" w:cs="Times New Roman"/>
          <w:color w:val="auto"/>
          <w:sz w:val="32"/>
          <w:szCs w:val="32"/>
          <w:highlight w:val="none"/>
          <w:lang w:eastAsia="zh-CN"/>
        </w:rPr>
        <w:t>电力缺口</w:t>
      </w:r>
      <w:r>
        <w:rPr>
          <w:rFonts w:hint="default" w:ascii="Times New Roman" w:hAnsi="Times New Roman" w:eastAsia="方正仿宋_GBK" w:cs="Times New Roman"/>
          <w:color w:val="auto"/>
          <w:sz w:val="32"/>
          <w:szCs w:val="32"/>
          <w:highlight w:val="none"/>
        </w:rPr>
        <w:t>情况，申请启动需求响应及电力负荷管理；各县区根据</w:t>
      </w:r>
      <w:r>
        <w:rPr>
          <w:rFonts w:hint="default" w:ascii="Times New Roman" w:hAnsi="Times New Roman" w:eastAsia="方正仿宋_GBK" w:cs="Times New Roman"/>
          <w:color w:val="auto"/>
          <w:sz w:val="32"/>
          <w:szCs w:val="32"/>
          <w:highlight w:val="none"/>
          <w:lang w:eastAsia="zh-CN"/>
        </w:rPr>
        <w:t>电力缺口</w:t>
      </w:r>
      <w:r>
        <w:rPr>
          <w:rFonts w:hint="default" w:ascii="Times New Roman" w:hAnsi="Times New Roman" w:eastAsia="方正仿宋_GBK" w:cs="Times New Roman"/>
          <w:color w:val="auto"/>
          <w:sz w:val="32"/>
          <w:szCs w:val="32"/>
          <w:highlight w:val="none"/>
        </w:rPr>
        <w:t>情况选择启动相应预案，各单位组织需求响应邀约、启动电力负荷管理预案并通知相关客户，判断执行方案后的电力缺口情况；供电公司向市发改委报告准备情况，申请启动电力负荷管理预案；市发改委同意启动电力负荷管理预案并向市政府领导报告；供电公司安排次日现场督导工作。</w:t>
      </w:r>
    </w:p>
    <w:p>
      <w:pPr>
        <w:spacing w:line="490" w:lineRule="exact"/>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b/>
          <w:bCs/>
          <w:color w:val="auto"/>
          <w:sz w:val="32"/>
          <w:szCs w:val="32"/>
          <w:highlight w:val="none"/>
        </w:rPr>
        <w:t>2. 电力负荷管理指令执行阶段。</w:t>
      </w:r>
      <w:r>
        <w:rPr>
          <w:rFonts w:hint="eastAsia" w:ascii="Times New Roman" w:hAnsi="Times New Roman" w:eastAsia="方正仿宋_GBK" w:cs="Times New Roman"/>
          <w:b/>
          <w:bCs/>
          <w:color w:val="auto"/>
          <w:sz w:val="32"/>
          <w:szCs w:val="32"/>
          <w:highlight w:val="none"/>
          <w:lang w:eastAsia="zh-CN"/>
        </w:rPr>
        <w:t>本次</w:t>
      </w:r>
      <w:r>
        <w:rPr>
          <w:rFonts w:hint="default" w:ascii="Times New Roman" w:hAnsi="Times New Roman" w:eastAsia="方正仿宋_GBK" w:cs="Times New Roman"/>
          <w:color w:val="auto"/>
          <w:sz w:val="32"/>
          <w:szCs w:val="32"/>
          <w:highlight w:val="none"/>
        </w:rPr>
        <w:t>演习以实战形式展现，</w:t>
      </w:r>
      <w:r>
        <w:rPr>
          <w:rFonts w:hint="eastAsia" w:ascii="Times New Roman" w:hAnsi="Times New Roman" w:eastAsia="方正仿宋_GBK" w:cs="Times New Roman"/>
          <w:color w:val="auto"/>
          <w:sz w:val="32"/>
          <w:szCs w:val="32"/>
          <w:highlight w:val="none"/>
          <w:lang w:eastAsia="zh-CN"/>
        </w:rPr>
        <w:t>共</w:t>
      </w:r>
      <w:r>
        <w:rPr>
          <w:rFonts w:hint="default" w:ascii="Times New Roman" w:hAnsi="Times New Roman" w:eastAsia="方正仿宋_GBK" w:cs="Times New Roman"/>
          <w:color w:val="auto"/>
          <w:sz w:val="32"/>
          <w:szCs w:val="32"/>
          <w:highlight w:val="none"/>
        </w:rPr>
        <w:t>分为三个场景，执行前供电公司所有现场督查人员到达演习客户现场。</w:t>
      </w:r>
    </w:p>
    <w:p>
      <w:pPr>
        <w:spacing w:line="490" w:lineRule="exact"/>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b/>
          <w:bCs/>
          <w:color w:val="auto"/>
          <w:sz w:val="32"/>
          <w:szCs w:val="32"/>
          <w:highlight w:val="none"/>
        </w:rPr>
        <w:t>场景一：</w:t>
      </w:r>
      <w:r>
        <w:rPr>
          <w:rFonts w:hint="default" w:ascii="Times New Roman" w:hAnsi="Times New Roman" w:eastAsia="方正仿宋_GBK" w:cs="Times New Roman"/>
          <w:color w:val="auto"/>
          <w:sz w:val="32"/>
          <w:szCs w:val="32"/>
          <w:highlight w:val="none"/>
        </w:rPr>
        <w:t>非工空调柔性调温执行演练，时长约15分钟。市区及三县公司同步执行。客户3分钟内将空调温度调至26度，响应客户以大型商超和党政机关为主体，计划全市压降负荷达到2万（市区0.9万、沭阳0.5万、泗阳及泗洪各0.3万）。</w:t>
      </w:r>
    </w:p>
    <w:p>
      <w:pPr>
        <w:spacing w:line="490" w:lineRule="exact"/>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b/>
          <w:bCs/>
          <w:color w:val="auto"/>
          <w:sz w:val="32"/>
          <w:szCs w:val="32"/>
          <w:highlight w:val="none"/>
        </w:rPr>
        <w:t>场景二：</w:t>
      </w:r>
      <w:r>
        <w:rPr>
          <w:rFonts w:hint="default" w:ascii="Times New Roman" w:hAnsi="Times New Roman" w:eastAsia="方正仿宋_GBK" w:cs="Times New Roman"/>
          <w:color w:val="auto"/>
          <w:sz w:val="32"/>
          <w:szCs w:val="32"/>
          <w:highlight w:val="none"/>
        </w:rPr>
        <w:t>快上快下客户演练，时长约20分钟。本次演习前，各县区政府已提前安排2-3户非连续性生产企业参加本场演习，目前现场督察人员已全部到达现场，请各县区政府通知企业执行错避峰指令。请电力负荷管理中心值班人员调看客户实时负荷曲线的相关画面。</w:t>
      </w:r>
    </w:p>
    <w:p>
      <w:pPr>
        <w:spacing w:line="490" w:lineRule="exact"/>
        <w:ind w:firstLine="640"/>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场景三：</w:t>
      </w:r>
      <w:r>
        <w:rPr>
          <w:rFonts w:hint="default" w:ascii="Times New Roman" w:hAnsi="Times New Roman" w:eastAsia="方正仿宋_GBK" w:cs="Times New Roman"/>
          <w:color w:val="auto"/>
          <w:sz w:val="32"/>
          <w:szCs w:val="32"/>
          <w:highlight w:val="none"/>
        </w:rPr>
        <w:t>约定需求响应客户演练，</w:t>
      </w:r>
      <w:r>
        <w:rPr>
          <w:rFonts w:hint="eastAsia" w:ascii="Times New Roman" w:hAnsi="Times New Roman" w:eastAsia="方正仿宋_GBK" w:cs="Times New Roman"/>
          <w:color w:val="auto"/>
          <w:sz w:val="32"/>
          <w:szCs w:val="32"/>
          <w:highlight w:val="none"/>
          <w:lang w:eastAsia="zh-CN"/>
        </w:rPr>
        <w:t>时长</w:t>
      </w:r>
      <w:r>
        <w:rPr>
          <w:rFonts w:hint="default" w:ascii="Times New Roman" w:hAnsi="Times New Roman" w:eastAsia="方正仿宋_GBK" w:cs="Times New Roman"/>
          <w:color w:val="auto"/>
          <w:sz w:val="32"/>
          <w:szCs w:val="32"/>
          <w:highlight w:val="none"/>
        </w:rPr>
        <w:t>约30分钟。本次演习前，各县区政府已提前安排2-3户申报约定需求响应企业参加本场演习，目前现场督察人员已全部到达现场，请各县区政府通知企业执行响应执行指令。电力负荷管理中心值班人员调看客户实时负荷曲线的相关画面。</w:t>
      </w:r>
    </w:p>
    <w:p>
      <w:pPr>
        <w:spacing w:line="490" w:lineRule="exact"/>
        <w:ind w:firstLine="640"/>
        <w:rPr>
          <w:rFonts w:hint="default" w:ascii="Times New Roman" w:hAnsi="Times New Roman" w:cs="Times New Roman"/>
          <w:color w:val="auto"/>
          <w:sz w:val="32"/>
          <w:szCs w:val="32"/>
          <w:highlight w:val="none"/>
        </w:rPr>
      </w:pPr>
      <w:r>
        <w:rPr>
          <w:rFonts w:hint="default" w:ascii="Times New Roman" w:hAnsi="Times New Roman" w:eastAsia="方正仿宋_GBK" w:cs="Times New Roman"/>
          <w:color w:val="auto"/>
          <w:sz w:val="32"/>
          <w:szCs w:val="32"/>
          <w:highlight w:val="none"/>
        </w:rPr>
        <w:t>各单位已按照非连续生产企业快上快下演习执行到位，第三场景演习结束。请电力负荷管理中心人员通知相关企业恢复正常用电。</w:t>
      </w:r>
    </w:p>
    <w:p>
      <w:pPr>
        <w:spacing w:line="490" w:lineRule="exact"/>
        <w:ind w:firstLine="64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b/>
          <w:bCs/>
          <w:color w:val="auto"/>
          <w:sz w:val="32"/>
          <w:szCs w:val="32"/>
          <w:highlight w:val="none"/>
        </w:rPr>
        <w:t>3.负荷释放阶段。</w:t>
      </w:r>
      <w:r>
        <w:rPr>
          <w:rFonts w:hint="default" w:ascii="Times New Roman" w:hAnsi="Times New Roman" w:eastAsia="方正仿宋_GBK" w:cs="Times New Roman"/>
          <w:color w:val="auto"/>
          <w:sz w:val="32"/>
          <w:szCs w:val="32"/>
          <w:highlight w:val="none"/>
        </w:rPr>
        <w:t>省调通知全省负荷高峰已过，调度通知限额取消；营销部取消功控，电话及短信告知客户可以正常用电；供电公司汇报全市电力负荷管理执行情况。</w:t>
      </w:r>
    </w:p>
    <w:p>
      <w:pPr>
        <w:spacing w:line="490" w:lineRule="exact"/>
        <w:ind w:firstLine="640"/>
        <w:rPr>
          <w:rFonts w:hint="default" w:ascii="Times New Roman" w:hAnsi="Times New Roman" w:cs="Times New Roman"/>
          <w:color w:val="auto"/>
          <w:highlight w:val="none"/>
        </w:rPr>
      </w:pPr>
      <w:r>
        <w:rPr>
          <w:rFonts w:hint="default" w:ascii="Times New Roman" w:hAnsi="Times New Roman" w:eastAsia="方正仿宋_GBK" w:cs="Times New Roman"/>
          <w:b/>
          <w:bCs/>
          <w:color w:val="auto"/>
          <w:sz w:val="32"/>
          <w:szCs w:val="32"/>
          <w:highlight w:val="none"/>
        </w:rPr>
        <w:t>4.领导宣布演习结束并开展现场点评。</w:t>
      </w:r>
    </w:p>
    <w:sectPr>
      <w:footerReference r:id="rId1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子淇" w:date="2025-04-23T09:16:12Z" w:initials="">
    <w:p w14:paraId="288E7085">
      <w:pPr>
        <w:pStyle w:val="9"/>
        <w:rPr>
          <w:rFonts w:hint="default" w:eastAsia="宋体"/>
          <w:lang w:val="en-US" w:eastAsia="zh-CN"/>
        </w:rPr>
      </w:pPr>
      <w:r>
        <w:rPr>
          <w:rFonts w:hint="eastAsia"/>
          <w:lang w:val="en-US" w:eastAsia="zh-CN"/>
        </w:rPr>
        <w:t>建议：并上报电力主管部门</w:t>
      </w:r>
    </w:p>
  </w:comment>
  <w:comment w:id="1" w:author="子淇" w:date="2025-04-23T09:17:16Z" w:initials="">
    <w:p w14:paraId="0D462955">
      <w:pPr>
        <w:pStyle w:val="9"/>
        <w:rPr>
          <w:rFonts w:hint="default" w:eastAsia="宋体"/>
          <w:lang w:val="en-US" w:eastAsia="zh-CN"/>
        </w:rPr>
      </w:pPr>
      <w:r>
        <w:rPr>
          <w:rFonts w:hint="eastAsia"/>
          <w:lang w:val="en-US" w:eastAsia="zh-CN"/>
        </w:rPr>
        <w:t>建议：经电力主管部门授权</w:t>
      </w:r>
    </w:p>
  </w:comment>
  <w:comment w:id="2" w:author="子淇" w:date="2025-04-23T09:50:15Z" w:initials="">
    <w:p w14:paraId="397F4BD3">
      <w:pPr>
        <w:pStyle w:val="9"/>
        <w:rPr>
          <w:rFonts w:hint="default" w:eastAsia="宋体"/>
          <w:lang w:val="en-US" w:eastAsia="zh-CN"/>
        </w:rPr>
      </w:pPr>
      <w:r>
        <w:rPr>
          <w:rFonts w:hint="eastAsia"/>
          <w:lang w:val="en-US" w:eastAsia="zh-CN"/>
        </w:rPr>
        <w:t>字号要一致</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88E7085" w15:done="0"/>
  <w15:commentEx w15:paraId="0D462955" w15:done="0"/>
  <w15:commentEx w15:paraId="397F4BD3"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57AD1B8-04D7-4170-A0B9-F4C48E5BE6FF}"/>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panose1 w:val="03000509000000000000"/>
    <w:charset w:val="86"/>
    <w:family w:val="auto"/>
    <w:pitch w:val="default"/>
    <w:sig w:usb0="00000001" w:usb1="080E0000" w:usb2="00000000" w:usb3="00000000" w:csb0="00040000" w:csb1="00000000"/>
    <w:embedRegular r:id="rId2" w:fontKey="{AE99254A-EFAE-46A6-91BB-DAB3768049BF}"/>
  </w:font>
  <w:font w:name="方正楷体_GBK">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embedRegular r:id="rId3" w:fontKey="{3272623F-9CAC-4106-9ECC-2C7CEFC9C6A3}"/>
  </w:font>
  <w:font w:name="微软雅黑">
    <w:panose1 w:val="020B0503020204020204"/>
    <w:charset w:val="86"/>
    <w:family w:val="auto"/>
    <w:pitch w:val="default"/>
    <w:sig w:usb0="80000287" w:usb1="280F3C52" w:usb2="00000016" w:usb3="00000000" w:csb0="0004001F" w:csb1="00000000"/>
    <w:embedRegular r:id="rId4" w:fontKey="{42D3E829-A810-48CF-BA63-3F3AB8F334E6}"/>
  </w:font>
  <w:font w:name="方正黑体简体">
    <w:altName w:val="Arial Unicode MS"/>
    <w:panose1 w:val="02010601030101010101"/>
    <w:charset w:val="86"/>
    <w:family w:val="auto"/>
    <w:pitch w:val="default"/>
    <w:sig w:usb0="00000000" w:usb1="00000000" w:usb2="00000000" w:usb3="00000000" w:csb0="00000000" w:csb1="00000000"/>
    <w:embedRegular r:id="rId5" w:fontKey="{C0CF53AC-D86B-4238-9213-D177182AAEC6}"/>
  </w:font>
  <w:font w:name="方正黑体_GBK">
    <w:panose1 w:val="03000509000000000000"/>
    <w:charset w:val="86"/>
    <w:family w:val="auto"/>
    <w:pitch w:val="default"/>
    <w:sig w:usb0="00000001" w:usb1="080E0000" w:usb2="00000000" w:usb3="00000000" w:csb0="00040000" w:csb1="00000000"/>
    <w:embedRegular r:id="rId6" w:fontKey="{2F4F5C1E-31D4-4A57-99AF-10377BB97E95}"/>
  </w:font>
  <w:font w:name="等线">
    <w:panose1 w:val="02010600030101010101"/>
    <w:charset w:val="86"/>
    <w:family w:val="auto"/>
    <w:pitch w:val="default"/>
    <w:sig w:usb0="A00002BF" w:usb1="38CF7CFA" w:usb2="00000016" w:usb3="00000000" w:csb0="0004000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center"/>
    </w:pPr>
  </w:p>
  <w:p>
    <w:pPr>
      <w:pStyle w:val="1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center"/>
    </w:pPr>
  </w:p>
  <w:p>
    <w:pPr>
      <w:pStyle w:val="10"/>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center"/>
    </w:pPr>
  </w:p>
  <w:p>
    <w:pPr>
      <w:pStyle w:val="10"/>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center"/>
    </w:pPr>
  </w:p>
  <w:p>
    <w:pPr>
      <w:pStyle w:val="10"/>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Style w:val="10"/>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5B5803"/>
    <w:multiLevelType w:val="singleLevel"/>
    <w:tmpl w:val="965B5803"/>
    <w:lvl w:ilvl="0" w:tentative="0">
      <w:start w:val="3"/>
      <w:numFmt w:val="decimal"/>
      <w:suff w:val="nothing"/>
      <w:lvlText w:val="（%1）"/>
      <w:lvlJc w:val="left"/>
    </w:lvl>
  </w:abstractNum>
  <w:abstractNum w:abstractNumId="1">
    <w:nsid w:val="00000002"/>
    <w:multiLevelType w:val="multilevel"/>
    <w:tmpl w:val="00000002"/>
    <w:lvl w:ilvl="0" w:tentative="0">
      <w:start w:val="1"/>
      <w:numFmt w:val="decimal"/>
      <w:pStyle w:val="3"/>
      <w:lvlText w:val="%1"/>
      <w:lvlJc w:val="left"/>
      <w:pPr>
        <w:tabs>
          <w:tab w:val="left" w:pos="432"/>
        </w:tabs>
        <w:ind w:left="432" w:hanging="432"/>
      </w:pPr>
      <w:rPr>
        <w:rFonts w:hint="eastAsia"/>
      </w:rPr>
    </w:lvl>
    <w:lvl w:ilvl="1" w:tentative="0">
      <w:start w:val="1"/>
      <w:numFmt w:val="decimal"/>
      <w:lvlText w:val="2.%2"/>
      <w:lvlJc w:val="left"/>
      <w:pPr>
        <w:tabs>
          <w:tab w:val="left" w:pos="576"/>
        </w:tabs>
        <w:ind w:left="576" w:hanging="576"/>
      </w:pPr>
      <w:rPr>
        <w:rFonts w:hint="eastAsia"/>
      </w:rPr>
    </w:lvl>
    <w:lvl w:ilvl="2" w:tentative="0">
      <w:start w:val="1"/>
      <w:numFmt w:val="decimal"/>
      <w:lvlText w:val="%1.%2.%3"/>
      <w:lvlJc w:val="left"/>
      <w:pPr>
        <w:tabs>
          <w:tab w:val="left" w:pos="2280"/>
        </w:tabs>
        <w:ind w:left="228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7468608F"/>
    <w:multiLevelType w:val="multilevel"/>
    <w:tmpl w:val="7468608F"/>
    <w:lvl w:ilvl="0" w:tentative="0">
      <w:start w:val="1"/>
      <w:numFmt w:val="chineseCounting"/>
      <w:lvlText w:val="第%1部分"/>
      <w:lvlJc w:val="left"/>
      <w:pPr>
        <w:ind w:left="432" w:hanging="432"/>
      </w:pPr>
      <w:rPr>
        <w:rFonts w:hint="eastAsia" w:ascii="宋体" w:hAnsi="宋体" w:eastAsia="方正小标宋_GBK" w:cs="宋体"/>
      </w:rPr>
    </w:lvl>
    <w:lvl w:ilvl="1" w:tentative="0">
      <w:start w:val="1"/>
      <w:numFmt w:val="decimal"/>
      <w:lvlText w:val="第%2章"/>
      <w:lvlJc w:val="left"/>
      <w:pPr>
        <w:ind w:left="575" w:hanging="575"/>
      </w:pPr>
      <w:rPr>
        <w:rFonts w:hint="eastAsia" w:ascii="Times New Roman" w:hAnsi="Times New Roman" w:eastAsia="方正小标宋_GBK" w:cs="宋体"/>
      </w:rPr>
    </w:lvl>
    <w:lvl w:ilvl="2" w:tentative="0">
      <w:start w:val="1"/>
      <w:numFmt w:val="decimal"/>
      <w:lvlText w:val="%2.%3."/>
      <w:lvlJc w:val="left"/>
      <w:pPr>
        <w:ind w:left="720" w:hanging="720"/>
      </w:pPr>
      <w:rPr>
        <w:rFonts w:hint="eastAsia" w:ascii="Times New Roman" w:hAnsi="Times New Roman" w:eastAsia="宋体" w:cs="宋体"/>
      </w:rPr>
    </w:lvl>
    <w:lvl w:ilvl="3" w:tentative="0">
      <w:start w:val="1"/>
      <w:numFmt w:val="decimal"/>
      <w:pStyle w:val="8"/>
      <w:lvlText w:val="%2.%3.%4."/>
      <w:lvlJc w:val="left"/>
      <w:pPr>
        <w:ind w:left="864" w:hanging="864"/>
      </w:pPr>
      <w:rPr>
        <w:rFonts w:hint="eastAsia" w:ascii="Times New Roman" w:hAnsi="Times New Roman" w:eastAsia="宋体" w:cs="宋体"/>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1" w:hanging="1151"/>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3" w:hanging="1583"/>
      </w:pPr>
      <w:rPr>
        <w:rFonts w:hint="eastAsia"/>
      </w:r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子淇">
    <w15:presenceInfo w15:providerId="WPS Office" w15:userId="27707075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val="1"/>
  <w:embedTrueTypeFonts/>
  <w:saveSubsetFonts/>
  <w:bordersDoNotSurroundHeader w:val="0"/>
  <w:bordersDoNotSurroundFooter w:val="0"/>
  <w:revisionView w:markup="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E450374"/>
    <w:rsid w:val="000165C7"/>
    <w:rsid w:val="00095867"/>
    <w:rsid w:val="000D0C44"/>
    <w:rsid w:val="00170509"/>
    <w:rsid w:val="002206B9"/>
    <w:rsid w:val="002D418A"/>
    <w:rsid w:val="00500F69"/>
    <w:rsid w:val="00566B83"/>
    <w:rsid w:val="00570EA4"/>
    <w:rsid w:val="00575A0D"/>
    <w:rsid w:val="005A0E96"/>
    <w:rsid w:val="00645A63"/>
    <w:rsid w:val="006A5E66"/>
    <w:rsid w:val="006F3048"/>
    <w:rsid w:val="007041B3"/>
    <w:rsid w:val="0070427C"/>
    <w:rsid w:val="00781E75"/>
    <w:rsid w:val="00A011DD"/>
    <w:rsid w:val="00A115B7"/>
    <w:rsid w:val="00B11774"/>
    <w:rsid w:val="00BE1F71"/>
    <w:rsid w:val="00C041DA"/>
    <w:rsid w:val="00C27FA9"/>
    <w:rsid w:val="00C66F06"/>
    <w:rsid w:val="00C82459"/>
    <w:rsid w:val="00C967D6"/>
    <w:rsid w:val="00CC38CF"/>
    <w:rsid w:val="00D24A25"/>
    <w:rsid w:val="00D406ED"/>
    <w:rsid w:val="00E46BD2"/>
    <w:rsid w:val="00F5219C"/>
    <w:rsid w:val="010474A9"/>
    <w:rsid w:val="01092A74"/>
    <w:rsid w:val="01106245"/>
    <w:rsid w:val="01156E98"/>
    <w:rsid w:val="0122432A"/>
    <w:rsid w:val="012A465D"/>
    <w:rsid w:val="012A5B16"/>
    <w:rsid w:val="013E6694"/>
    <w:rsid w:val="014A09D8"/>
    <w:rsid w:val="015D4D75"/>
    <w:rsid w:val="01603894"/>
    <w:rsid w:val="01662372"/>
    <w:rsid w:val="017970EA"/>
    <w:rsid w:val="01813352"/>
    <w:rsid w:val="018A6CB1"/>
    <w:rsid w:val="019673BB"/>
    <w:rsid w:val="019F738B"/>
    <w:rsid w:val="01A13196"/>
    <w:rsid w:val="01A4272B"/>
    <w:rsid w:val="01B33640"/>
    <w:rsid w:val="01B608AE"/>
    <w:rsid w:val="01BF6ABF"/>
    <w:rsid w:val="01C47CCB"/>
    <w:rsid w:val="01D00C1A"/>
    <w:rsid w:val="01DC7106"/>
    <w:rsid w:val="01DF245A"/>
    <w:rsid w:val="01E95E80"/>
    <w:rsid w:val="02043E5A"/>
    <w:rsid w:val="02277C67"/>
    <w:rsid w:val="02520F9B"/>
    <w:rsid w:val="02520FBE"/>
    <w:rsid w:val="0252152C"/>
    <w:rsid w:val="025349DD"/>
    <w:rsid w:val="0261669D"/>
    <w:rsid w:val="02653E71"/>
    <w:rsid w:val="027218A4"/>
    <w:rsid w:val="02AE1F6B"/>
    <w:rsid w:val="02AF75F6"/>
    <w:rsid w:val="02B614BD"/>
    <w:rsid w:val="02B90CCE"/>
    <w:rsid w:val="02C32554"/>
    <w:rsid w:val="02CD4A99"/>
    <w:rsid w:val="02DE70F8"/>
    <w:rsid w:val="02F802FB"/>
    <w:rsid w:val="02F83D9C"/>
    <w:rsid w:val="02FE4154"/>
    <w:rsid w:val="03114CCB"/>
    <w:rsid w:val="0321639D"/>
    <w:rsid w:val="033D54CB"/>
    <w:rsid w:val="034208B9"/>
    <w:rsid w:val="03436BAD"/>
    <w:rsid w:val="03477C58"/>
    <w:rsid w:val="034C11DC"/>
    <w:rsid w:val="035B00B9"/>
    <w:rsid w:val="037049B2"/>
    <w:rsid w:val="03865EEB"/>
    <w:rsid w:val="038D5003"/>
    <w:rsid w:val="03A06CD7"/>
    <w:rsid w:val="03AB16C2"/>
    <w:rsid w:val="03C27FFC"/>
    <w:rsid w:val="03C34120"/>
    <w:rsid w:val="03C457DD"/>
    <w:rsid w:val="03C92119"/>
    <w:rsid w:val="03CA5C02"/>
    <w:rsid w:val="03D57A27"/>
    <w:rsid w:val="03D9410B"/>
    <w:rsid w:val="03D96DE4"/>
    <w:rsid w:val="03DD76CF"/>
    <w:rsid w:val="03F12627"/>
    <w:rsid w:val="03F35CEF"/>
    <w:rsid w:val="03F47809"/>
    <w:rsid w:val="03FA5714"/>
    <w:rsid w:val="04003C23"/>
    <w:rsid w:val="041C01CD"/>
    <w:rsid w:val="0445762C"/>
    <w:rsid w:val="04573A0F"/>
    <w:rsid w:val="0466141F"/>
    <w:rsid w:val="0467422C"/>
    <w:rsid w:val="04681B6B"/>
    <w:rsid w:val="048A0851"/>
    <w:rsid w:val="048D46CD"/>
    <w:rsid w:val="04964F1D"/>
    <w:rsid w:val="04A00D04"/>
    <w:rsid w:val="04B019C0"/>
    <w:rsid w:val="04B83C2B"/>
    <w:rsid w:val="04BD09A3"/>
    <w:rsid w:val="04C2419B"/>
    <w:rsid w:val="04D20104"/>
    <w:rsid w:val="04E44FF7"/>
    <w:rsid w:val="04E95185"/>
    <w:rsid w:val="05002B53"/>
    <w:rsid w:val="05101C22"/>
    <w:rsid w:val="051720D6"/>
    <w:rsid w:val="052F55B5"/>
    <w:rsid w:val="05470A29"/>
    <w:rsid w:val="054B64BB"/>
    <w:rsid w:val="05572400"/>
    <w:rsid w:val="05621C67"/>
    <w:rsid w:val="058108C8"/>
    <w:rsid w:val="05922443"/>
    <w:rsid w:val="05986E68"/>
    <w:rsid w:val="059C6C54"/>
    <w:rsid w:val="05A61E1F"/>
    <w:rsid w:val="05AA291A"/>
    <w:rsid w:val="05AA2EA9"/>
    <w:rsid w:val="05B347B0"/>
    <w:rsid w:val="05BF329D"/>
    <w:rsid w:val="05C062CE"/>
    <w:rsid w:val="05D062DE"/>
    <w:rsid w:val="05D35286"/>
    <w:rsid w:val="05DF47DC"/>
    <w:rsid w:val="05E52369"/>
    <w:rsid w:val="05F074D1"/>
    <w:rsid w:val="05F932F5"/>
    <w:rsid w:val="0607078B"/>
    <w:rsid w:val="060B58FF"/>
    <w:rsid w:val="061C1741"/>
    <w:rsid w:val="062F04C0"/>
    <w:rsid w:val="062F7A2D"/>
    <w:rsid w:val="06330831"/>
    <w:rsid w:val="06432D87"/>
    <w:rsid w:val="0668677A"/>
    <w:rsid w:val="066A35BB"/>
    <w:rsid w:val="06743C9B"/>
    <w:rsid w:val="067B70B6"/>
    <w:rsid w:val="067E1186"/>
    <w:rsid w:val="068B35BC"/>
    <w:rsid w:val="068E3F6B"/>
    <w:rsid w:val="0692188D"/>
    <w:rsid w:val="06A00EBA"/>
    <w:rsid w:val="06A170E8"/>
    <w:rsid w:val="06C13938"/>
    <w:rsid w:val="06C51C34"/>
    <w:rsid w:val="06C623D6"/>
    <w:rsid w:val="06D104B4"/>
    <w:rsid w:val="06E82349"/>
    <w:rsid w:val="06F012DF"/>
    <w:rsid w:val="06F31B61"/>
    <w:rsid w:val="06F66066"/>
    <w:rsid w:val="06FE14E9"/>
    <w:rsid w:val="07047C16"/>
    <w:rsid w:val="070743A3"/>
    <w:rsid w:val="070B36CA"/>
    <w:rsid w:val="07126064"/>
    <w:rsid w:val="07231177"/>
    <w:rsid w:val="07277D35"/>
    <w:rsid w:val="072D64D1"/>
    <w:rsid w:val="073551F6"/>
    <w:rsid w:val="073D5777"/>
    <w:rsid w:val="07465D2B"/>
    <w:rsid w:val="07506A0A"/>
    <w:rsid w:val="07534674"/>
    <w:rsid w:val="0754650D"/>
    <w:rsid w:val="075F3CFD"/>
    <w:rsid w:val="07877E9B"/>
    <w:rsid w:val="078D5CF0"/>
    <w:rsid w:val="078F740E"/>
    <w:rsid w:val="079C528A"/>
    <w:rsid w:val="07A00DED"/>
    <w:rsid w:val="07B07077"/>
    <w:rsid w:val="07C85485"/>
    <w:rsid w:val="07D969CE"/>
    <w:rsid w:val="07DA6120"/>
    <w:rsid w:val="07DF46F8"/>
    <w:rsid w:val="07E44B95"/>
    <w:rsid w:val="07E55B44"/>
    <w:rsid w:val="08001CF4"/>
    <w:rsid w:val="080E6EEA"/>
    <w:rsid w:val="081512BD"/>
    <w:rsid w:val="082908A7"/>
    <w:rsid w:val="0832038B"/>
    <w:rsid w:val="08320AF9"/>
    <w:rsid w:val="084D1E39"/>
    <w:rsid w:val="086628B1"/>
    <w:rsid w:val="08783A22"/>
    <w:rsid w:val="0882054B"/>
    <w:rsid w:val="088C2F8B"/>
    <w:rsid w:val="088D3364"/>
    <w:rsid w:val="088F63F3"/>
    <w:rsid w:val="08914743"/>
    <w:rsid w:val="089456B6"/>
    <w:rsid w:val="08A7307B"/>
    <w:rsid w:val="08A730D0"/>
    <w:rsid w:val="08A9005C"/>
    <w:rsid w:val="08B10F46"/>
    <w:rsid w:val="08BA5E42"/>
    <w:rsid w:val="08C80C72"/>
    <w:rsid w:val="08C87B3B"/>
    <w:rsid w:val="08CC5ED8"/>
    <w:rsid w:val="08CE7F36"/>
    <w:rsid w:val="08E24F1B"/>
    <w:rsid w:val="08E4197B"/>
    <w:rsid w:val="08EB77D9"/>
    <w:rsid w:val="08EF2EA6"/>
    <w:rsid w:val="08EF568B"/>
    <w:rsid w:val="08F306FC"/>
    <w:rsid w:val="09092730"/>
    <w:rsid w:val="09094279"/>
    <w:rsid w:val="091031EE"/>
    <w:rsid w:val="0920049D"/>
    <w:rsid w:val="0925578D"/>
    <w:rsid w:val="092D7838"/>
    <w:rsid w:val="09373D07"/>
    <w:rsid w:val="093E331C"/>
    <w:rsid w:val="094868F7"/>
    <w:rsid w:val="09577611"/>
    <w:rsid w:val="095A69E8"/>
    <w:rsid w:val="095D332F"/>
    <w:rsid w:val="09600E9F"/>
    <w:rsid w:val="0960677F"/>
    <w:rsid w:val="0967461D"/>
    <w:rsid w:val="096B125C"/>
    <w:rsid w:val="096E4863"/>
    <w:rsid w:val="09722413"/>
    <w:rsid w:val="097270D4"/>
    <w:rsid w:val="097B3B8A"/>
    <w:rsid w:val="0982014E"/>
    <w:rsid w:val="09835440"/>
    <w:rsid w:val="09872908"/>
    <w:rsid w:val="09873680"/>
    <w:rsid w:val="098F2EE1"/>
    <w:rsid w:val="099B5236"/>
    <w:rsid w:val="09AD636B"/>
    <w:rsid w:val="09AE771A"/>
    <w:rsid w:val="09BC3925"/>
    <w:rsid w:val="09C52E84"/>
    <w:rsid w:val="09D47CF9"/>
    <w:rsid w:val="09E14246"/>
    <w:rsid w:val="09E85BFF"/>
    <w:rsid w:val="09EB1AF3"/>
    <w:rsid w:val="09EC3E5A"/>
    <w:rsid w:val="09F56100"/>
    <w:rsid w:val="09FB58ED"/>
    <w:rsid w:val="09FF07A5"/>
    <w:rsid w:val="0A025C0D"/>
    <w:rsid w:val="0A054485"/>
    <w:rsid w:val="0A0A742C"/>
    <w:rsid w:val="0A350871"/>
    <w:rsid w:val="0A380C47"/>
    <w:rsid w:val="0A384A71"/>
    <w:rsid w:val="0A3E6F9B"/>
    <w:rsid w:val="0A45276D"/>
    <w:rsid w:val="0A51755B"/>
    <w:rsid w:val="0A526449"/>
    <w:rsid w:val="0A554E64"/>
    <w:rsid w:val="0A6632C4"/>
    <w:rsid w:val="0A6D2D03"/>
    <w:rsid w:val="0A6F6EC3"/>
    <w:rsid w:val="0A7742AE"/>
    <w:rsid w:val="0A7F0AFF"/>
    <w:rsid w:val="0A892DD9"/>
    <w:rsid w:val="0AB031D0"/>
    <w:rsid w:val="0AB10AD4"/>
    <w:rsid w:val="0ABB29E3"/>
    <w:rsid w:val="0AC84670"/>
    <w:rsid w:val="0ACD219E"/>
    <w:rsid w:val="0AD43190"/>
    <w:rsid w:val="0AE124A4"/>
    <w:rsid w:val="0AE73355"/>
    <w:rsid w:val="0AF05F63"/>
    <w:rsid w:val="0AF815E1"/>
    <w:rsid w:val="0AFE7821"/>
    <w:rsid w:val="0B00143C"/>
    <w:rsid w:val="0B0932ED"/>
    <w:rsid w:val="0B0B3A62"/>
    <w:rsid w:val="0B1034FE"/>
    <w:rsid w:val="0B213AB9"/>
    <w:rsid w:val="0B315B9F"/>
    <w:rsid w:val="0B332BCD"/>
    <w:rsid w:val="0B3510D7"/>
    <w:rsid w:val="0B395105"/>
    <w:rsid w:val="0B3F3AB0"/>
    <w:rsid w:val="0B43690E"/>
    <w:rsid w:val="0B4B45D6"/>
    <w:rsid w:val="0B4F2A29"/>
    <w:rsid w:val="0B581459"/>
    <w:rsid w:val="0B5B554A"/>
    <w:rsid w:val="0B686272"/>
    <w:rsid w:val="0B835C8D"/>
    <w:rsid w:val="0B8D29F4"/>
    <w:rsid w:val="0B8E37FB"/>
    <w:rsid w:val="0B9168E8"/>
    <w:rsid w:val="0B951E7C"/>
    <w:rsid w:val="0BB11783"/>
    <w:rsid w:val="0BCE3E5A"/>
    <w:rsid w:val="0BDB1B2C"/>
    <w:rsid w:val="0BDC6B90"/>
    <w:rsid w:val="0BDF7B09"/>
    <w:rsid w:val="0BE23DF1"/>
    <w:rsid w:val="0BEC7569"/>
    <w:rsid w:val="0BFC0B33"/>
    <w:rsid w:val="0C0310C7"/>
    <w:rsid w:val="0C044781"/>
    <w:rsid w:val="0C0D7B9A"/>
    <w:rsid w:val="0C0E3552"/>
    <w:rsid w:val="0C1C20A2"/>
    <w:rsid w:val="0C2D4E43"/>
    <w:rsid w:val="0C320E1C"/>
    <w:rsid w:val="0C362716"/>
    <w:rsid w:val="0C3639E2"/>
    <w:rsid w:val="0C3F1658"/>
    <w:rsid w:val="0C4A1E7B"/>
    <w:rsid w:val="0C530B88"/>
    <w:rsid w:val="0C53150B"/>
    <w:rsid w:val="0C607E97"/>
    <w:rsid w:val="0C6B6022"/>
    <w:rsid w:val="0C79286C"/>
    <w:rsid w:val="0C7F7622"/>
    <w:rsid w:val="0C9A166E"/>
    <w:rsid w:val="0C9F20AC"/>
    <w:rsid w:val="0CA54B22"/>
    <w:rsid w:val="0CA715DE"/>
    <w:rsid w:val="0CA75A2A"/>
    <w:rsid w:val="0CAE66E1"/>
    <w:rsid w:val="0CB16E13"/>
    <w:rsid w:val="0CB91986"/>
    <w:rsid w:val="0CBD581C"/>
    <w:rsid w:val="0CBF0B6E"/>
    <w:rsid w:val="0CC26D4D"/>
    <w:rsid w:val="0CC9695C"/>
    <w:rsid w:val="0CCF6888"/>
    <w:rsid w:val="0CD16C52"/>
    <w:rsid w:val="0CD67BD0"/>
    <w:rsid w:val="0CD8780E"/>
    <w:rsid w:val="0CF64AA5"/>
    <w:rsid w:val="0CFA7D49"/>
    <w:rsid w:val="0D01252D"/>
    <w:rsid w:val="0D2B2743"/>
    <w:rsid w:val="0D3A12C1"/>
    <w:rsid w:val="0D3B7723"/>
    <w:rsid w:val="0D3E6960"/>
    <w:rsid w:val="0D41646E"/>
    <w:rsid w:val="0D516B09"/>
    <w:rsid w:val="0D557419"/>
    <w:rsid w:val="0D5A611B"/>
    <w:rsid w:val="0D812DAC"/>
    <w:rsid w:val="0D8517E3"/>
    <w:rsid w:val="0D890EDD"/>
    <w:rsid w:val="0D9A7B8D"/>
    <w:rsid w:val="0DA124F1"/>
    <w:rsid w:val="0DA21AA4"/>
    <w:rsid w:val="0DA562AF"/>
    <w:rsid w:val="0DA829D2"/>
    <w:rsid w:val="0DB33051"/>
    <w:rsid w:val="0DBC6087"/>
    <w:rsid w:val="0DDE64E1"/>
    <w:rsid w:val="0DE70949"/>
    <w:rsid w:val="0DF176EB"/>
    <w:rsid w:val="0E140804"/>
    <w:rsid w:val="0E1A3486"/>
    <w:rsid w:val="0E1C7289"/>
    <w:rsid w:val="0E1E2BE9"/>
    <w:rsid w:val="0E2058B1"/>
    <w:rsid w:val="0E232578"/>
    <w:rsid w:val="0E2A26F3"/>
    <w:rsid w:val="0E2E064F"/>
    <w:rsid w:val="0E365147"/>
    <w:rsid w:val="0E3A27DA"/>
    <w:rsid w:val="0E3E1681"/>
    <w:rsid w:val="0E415563"/>
    <w:rsid w:val="0E654074"/>
    <w:rsid w:val="0E7004E9"/>
    <w:rsid w:val="0E7A3A47"/>
    <w:rsid w:val="0E7A68C9"/>
    <w:rsid w:val="0E813592"/>
    <w:rsid w:val="0E8217A9"/>
    <w:rsid w:val="0E8D643C"/>
    <w:rsid w:val="0EA15AA1"/>
    <w:rsid w:val="0EAB2689"/>
    <w:rsid w:val="0EAE58E9"/>
    <w:rsid w:val="0EBC07DC"/>
    <w:rsid w:val="0EC062FB"/>
    <w:rsid w:val="0F0834DA"/>
    <w:rsid w:val="0F1063F7"/>
    <w:rsid w:val="0F1347FF"/>
    <w:rsid w:val="0F190701"/>
    <w:rsid w:val="0F1D4AF7"/>
    <w:rsid w:val="0F1D6049"/>
    <w:rsid w:val="0F2967BD"/>
    <w:rsid w:val="0F30170F"/>
    <w:rsid w:val="0F354E73"/>
    <w:rsid w:val="0F430F6E"/>
    <w:rsid w:val="0F4F225A"/>
    <w:rsid w:val="0F524949"/>
    <w:rsid w:val="0F785D33"/>
    <w:rsid w:val="0F8E7EAA"/>
    <w:rsid w:val="0F952CD9"/>
    <w:rsid w:val="0FA43C32"/>
    <w:rsid w:val="0FAB1FCD"/>
    <w:rsid w:val="0FB256A6"/>
    <w:rsid w:val="0FB42D60"/>
    <w:rsid w:val="0FBA1754"/>
    <w:rsid w:val="0FC33F6C"/>
    <w:rsid w:val="0FC63F72"/>
    <w:rsid w:val="0FC807F7"/>
    <w:rsid w:val="0FC83FD8"/>
    <w:rsid w:val="0FC95500"/>
    <w:rsid w:val="0FD46C2E"/>
    <w:rsid w:val="0FE64431"/>
    <w:rsid w:val="0FEB06FC"/>
    <w:rsid w:val="0FF012B6"/>
    <w:rsid w:val="0FFF7CF2"/>
    <w:rsid w:val="100209D2"/>
    <w:rsid w:val="10116BB2"/>
    <w:rsid w:val="10192640"/>
    <w:rsid w:val="10240EBC"/>
    <w:rsid w:val="102D1A30"/>
    <w:rsid w:val="102D3A9F"/>
    <w:rsid w:val="10357518"/>
    <w:rsid w:val="103F5E6A"/>
    <w:rsid w:val="103F7FF5"/>
    <w:rsid w:val="104003E1"/>
    <w:rsid w:val="104F2833"/>
    <w:rsid w:val="105A01C9"/>
    <w:rsid w:val="105C382C"/>
    <w:rsid w:val="107410FA"/>
    <w:rsid w:val="107C71DF"/>
    <w:rsid w:val="10861F0F"/>
    <w:rsid w:val="108B677A"/>
    <w:rsid w:val="10945BB0"/>
    <w:rsid w:val="109A5FA0"/>
    <w:rsid w:val="109B1B6E"/>
    <w:rsid w:val="10A51589"/>
    <w:rsid w:val="10C1393F"/>
    <w:rsid w:val="10CA0432"/>
    <w:rsid w:val="10CC20C4"/>
    <w:rsid w:val="10E41146"/>
    <w:rsid w:val="10E47FB7"/>
    <w:rsid w:val="10EF20A1"/>
    <w:rsid w:val="10FF1F16"/>
    <w:rsid w:val="110113F5"/>
    <w:rsid w:val="110C3E20"/>
    <w:rsid w:val="110C6E48"/>
    <w:rsid w:val="111F763B"/>
    <w:rsid w:val="11204E75"/>
    <w:rsid w:val="11233E33"/>
    <w:rsid w:val="113A5448"/>
    <w:rsid w:val="11433033"/>
    <w:rsid w:val="11565E4E"/>
    <w:rsid w:val="11707AE0"/>
    <w:rsid w:val="11960294"/>
    <w:rsid w:val="119F64B0"/>
    <w:rsid w:val="11A255CD"/>
    <w:rsid w:val="11B01C35"/>
    <w:rsid w:val="11B326CF"/>
    <w:rsid w:val="11B3549F"/>
    <w:rsid w:val="11C55A56"/>
    <w:rsid w:val="11DF1393"/>
    <w:rsid w:val="11EE7F02"/>
    <w:rsid w:val="11FE2F80"/>
    <w:rsid w:val="12090E0A"/>
    <w:rsid w:val="12216E85"/>
    <w:rsid w:val="12247A2F"/>
    <w:rsid w:val="122F4E64"/>
    <w:rsid w:val="122F66BA"/>
    <w:rsid w:val="123034C7"/>
    <w:rsid w:val="12345F25"/>
    <w:rsid w:val="1239783C"/>
    <w:rsid w:val="12406C2E"/>
    <w:rsid w:val="12407C0C"/>
    <w:rsid w:val="12422DEE"/>
    <w:rsid w:val="125934C7"/>
    <w:rsid w:val="12725A18"/>
    <w:rsid w:val="127E4197"/>
    <w:rsid w:val="128132E7"/>
    <w:rsid w:val="12870424"/>
    <w:rsid w:val="12963EAE"/>
    <w:rsid w:val="129E26E5"/>
    <w:rsid w:val="12A27D8E"/>
    <w:rsid w:val="12AC1431"/>
    <w:rsid w:val="12C25179"/>
    <w:rsid w:val="12C77966"/>
    <w:rsid w:val="12C94AB6"/>
    <w:rsid w:val="12DF0161"/>
    <w:rsid w:val="12E80A4B"/>
    <w:rsid w:val="12E93BCD"/>
    <w:rsid w:val="12EE21C2"/>
    <w:rsid w:val="12FB03C3"/>
    <w:rsid w:val="12FB158C"/>
    <w:rsid w:val="130E2939"/>
    <w:rsid w:val="13174B41"/>
    <w:rsid w:val="131829E8"/>
    <w:rsid w:val="132F40A3"/>
    <w:rsid w:val="13307A12"/>
    <w:rsid w:val="13307D2C"/>
    <w:rsid w:val="13343B03"/>
    <w:rsid w:val="13344D5B"/>
    <w:rsid w:val="1341236D"/>
    <w:rsid w:val="1345064B"/>
    <w:rsid w:val="1355316C"/>
    <w:rsid w:val="137F2DA1"/>
    <w:rsid w:val="1395026C"/>
    <w:rsid w:val="13A45DA3"/>
    <w:rsid w:val="13A5112A"/>
    <w:rsid w:val="13A830BC"/>
    <w:rsid w:val="13B135D1"/>
    <w:rsid w:val="13B27C36"/>
    <w:rsid w:val="13B942B7"/>
    <w:rsid w:val="13C33B3F"/>
    <w:rsid w:val="13C81C9D"/>
    <w:rsid w:val="13C9186A"/>
    <w:rsid w:val="13D204BF"/>
    <w:rsid w:val="13D25870"/>
    <w:rsid w:val="13D71095"/>
    <w:rsid w:val="13DC1E28"/>
    <w:rsid w:val="13F62949"/>
    <w:rsid w:val="14031904"/>
    <w:rsid w:val="1405640F"/>
    <w:rsid w:val="14083880"/>
    <w:rsid w:val="140C3D47"/>
    <w:rsid w:val="14187BD7"/>
    <w:rsid w:val="142250AB"/>
    <w:rsid w:val="142946CD"/>
    <w:rsid w:val="142F5BC9"/>
    <w:rsid w:val="14401B8D"/>
    <w:rsid w:val="14475122"/>
    <w:rsid w:val="145318F9"/>
    <w:rsid w:val="145860E0"/>
    <w:rsid w:val="145D4F56"/>
    <w:rsid w:val="14736E75"/>
    <w:rsid w:val="1477201D"/>
    <w:rsid w:val="14880E4F"/>
    <w:rsid w:val="148B569B"/>
    <w:rsid w:val="148C469C"/>
    <w:rsid w:val="14A8144A"/>
    <w:rsid w:val="14AB22EE"/>
    <w:rsid w:val="14D0111A"/>
    <w:rsid w:val="14D954C1"/>
    <w:rsid w:val="14DA4F18"/>
    <w:rsid w:val="150A2C56"/>
    <w:rsid w:val="1518399B"/>
    <w:rsid w:val="151B54D5"/>
    <w:rsid w:val="151F3C00"/>
    <w:rsid w:val="1535223C"/>
    <w:rsid w:val="15362D12"/>
    <w:rsid w:val="153668B8"/>
    <w:rsid w:val="15505EA4"/>
    <w:rsid w:val="15545E3B"/>
    <w:rsid w:val="155529B5"/>
    <w:rsid w:val="15560B0D"/>
    <w:rsid w:val="1564736A"/>
    <w:rsid w:val="158A153B"/>
    <w:rsid w:val="159E499D"/>
    <w:rsid w:val="159F6F4B"/>
    <w:rsid w:val="15AC1E30"/>
    <w:rsid w:val="15AF5138"/>
    <w:rsid w:val="15BE0121"/>
    <w:rsid w:val="15DC7CAB"/>
    <w:rsid w:val="15E46B1E"/>
    <w:rsid w:val="15E653D1"/>
    <w:rsid w:val="15EC4F4B"/>
    <w:rsid w:val="15FA76FE"/>
    <w:rsid w:val="16076688"/>
    <w:rsid w:val="162F4B4A"/>
    <w:rsid w:val="16370F9D"/>
    <w:rsid w:val="1639117C"/>
    <w:rsid w:val="163B053F"/>
    <w:rsid w:val="163E130D"/>
    <w:rsid w:val="167D2EB1"/>
    <w:rsid w:val="168B15BA"/>
    <w:rsid w:val="168B27F9"/>
    <w:rsid w:val="16A42C30"/>
    <w:rsid w:val="16AA643D"/>
    <w:rsid w:val="16AC6FA7"/>
    <w:rsid w:val="16B7527A"/>
    <w:rsid w:val="16BB2A7B"/>
    <w:rsid w:val="16C3174A"/>
    <w:rsid w:val="16C62368"/>
    <w:rsid w:val="16D46A5C"/>
    <w:rsid w:val="16E06074"/>
    <w:rsid w:val="16E62087"/>
    <w:rsid w:val="17103A82"/>
    <w:rsid w:val="17110334"/>
    <w:rsid w:val="17136ACC"/>
    <w:rsid w:val="1724333F"/>
    <w:rsid w:val="17454EF5"/>
    <w:rsid w:val="17472F0D"/>
    <w:rsid w:val="17594AE4"/>
    <w:rsid w:val="175A0D8D"/>
    <w:rsid w:val="175D4F2A"/>
    <w:rsid w:val="177A567C"/>
    <w:rsid w:val="177E69BE"/>
    <w:rsid w:val="177F0EAC"/>
    <w:rsid w:val="17906894"/>
    <w:rsid w:val="17996A16"/>
    <w:rsid w:val="179B1C6B"/>
    <w:rsid w:val="179C4EC3"/>
    <w:rsid w:val="17A316A1"/>
    <w:rsid w:val="17BB75E7"/>
    <w:rsid w:val="17C23DBF"/>
    <w:rsid w:val="17C34D53"/>
    <w:rsid w:val="17CC7FA9"/>
    <w:rsid w:val="17DC5AB9"/>
    <w:rsid w:val="17E41DC0"/>
    <w:rsid w:val="18002F09"/>
    <w:rsid w:val="180D04A9"/>
    <w:rsid w:val="18101A24"/>
    <w:rsid w:val="18115DAD"/>
    <w:rsid w:val="18177810"/>
    <w:rsid w:val="183A58CF"/>
    <w:rsid w:val="18465232"/>
    <w:rsid w:val="185005D0"/>
    <w:rsid w:val="1853553B"/>
    <w:rsid w:val="1858025A"/>
    <w:rsid w:val="185A3475"/>
    <w:rsid w:val="18682B48"/>
    <w:rsid w:val="186A135B"/>
    <w:rsid w:val="18734388"/>
    <w:rsid w:val="187524FB"/>
    <w:rsid w:val="18864E79"/>
    <w:rsid w:val="18910C77"/>
    <w:rsid w:val="18960486"/>
    <w:rsid w:val="18960FF6"/>
    <w:rsid w:val="18991819"/>
    <w:rsid w:val="18AA48AA"/>
    <w:rsid w:val="18AD2BF4"/>
    <w:rsid w:val="18B852C4"/>
    <w:rsid w:val="18B86EFB"/>
    <w:rsid w:val="18B909F1"/>
    <w:rsid w:val="18C75597"/>
    <w:rsid w:val="18C86B39"/>
    <w:rsid w:val="18CD7945"/>
    <w:rsid w:val="18D8523C"/>
    <w:rsid w:val="1904291D"/>
    <w:rsid w:val="1908598F"/>
    <w:rsid w:val="19182878"/>
    <w:rsid w:val="192C363B"/>
    <w:rsid w:val="193325FA"/>
    <w:rsid w:val="19395B8F"/>
    <w:rsid w:val="194D2ECF"/>
    <w:rsid w:val="19536A2D"/>
    <w:rsid w:val="19611C8C"/>
    <w:rsid w:val="197B3B78"/>
    <w:rsid w:val="197D4ED3"/>
    <w:rsid w:val="198D107C"/>
    <w:rsid w:val="19A43A04"/>
    <w:rsid w:val="19A55018"/>
    <w:rsid w:val="19AF5844"/>
    <w:rsid w:val="19B36295"/>
    <w:rsid w:val="19C04E10"/>
    <w:rsid w:val="19DE2AD1"/>
    <w:rsid w:val="19E51FE7"/>
    <w:rsid w:val="19F44A4B"/>
    <w:rsid w:val="1A055A18"/>
    <w:rsid w:val="1A1B52F7"/>
    <w:rsid w:val="1A222199"/>
    <w:rsid w:val="1A322027"/>
    <w:rsid w:val="1A467E04"/>
    <w:rsid w:val="1A646860"/>
    <w:rsid w:val="1A7B6EC9"/>
    <w:rsid w:val="1A820080"/>
    <w:rsid w:val="1AA36FC3"/>
    <w:rsid w:val="1AA66A13"/>
    <w:rsid w:val="1AB33055"/>
    <w:rsid w:val="1AB41EBC"/>
    <w:rsid w:val="1AB67FEB"/>
    <w:rsid w:val="1ACA748C"/>
    <w:rsid w:val="1ACB4ABB"/>
    <w:rsid w:val="1AE3267C"/>
    <w:rsid w:val="1AF501BB"/>
    <w:rsid w:val="1B076B9B"/>
    <w:rsid w:val="1B1121DC"/>
    <w:rsid w:val="1B157D2B"/>
    <w:rsid w:val="1B1C2636"/>
    <w:rsid w:val="1B1D62A0"/>
    <w:rsid w:val="1B1E5C68"/>
    <w:rsid w:val="1B2A0FD1"/>
    <w:rsid w:val="1B2F6A95"/>
    <w:rsid w:val="1B3D1CEA"/>
    <w:rsid w:val="1B5577D1"/>
    <w:rsid w:val="1B5B1174"/>
    <w:rsid w:val="1B661412"/>
    <w:rsid w:val="1B6B10D0"/>
    <w:rsid w:val="1B817376"/>
    <w:rsid w:val="1B8D1E18"/>
    <w:rsid w:val="1B966620"/>
    <w:rsid w:val="1BA37C9C"/>
    <w:rsid w:val="1BB91900"/>
    <w:rsid w:val="1BC54C3A"/>
    <w:rsid w:val="1BDE3A16"/>
    <w:rsid w:val="1BF91FA1"/>
    <w:rsid w:val="1C0E21DD"/>
    <w:rsid w:val="1C222362"/>
    <w:rsid w:val="1C3145CF"/>
    <w:rsid w:val="1C3A035E"/>
    <w:rsid w:val="1C4000C3"/>
    <w:rsid w:val="1C5E74B3"/>
    <w:rsid w:val="1C6269A4"/>
    <w:rsid w:val="1C684A7C"/>
    <w:rsid w:val="1C8F7E4E"/>
    <w:rsid w:val="1CA20386"/>
    <w:rsid w:val="1CA41464"/>
    <w:rsid w:val="1CA61B9B"/>
    <w:rsid w:val="1CA81594"/>
    <w:rsid w:val="1CE412E3"/>
    <w:rsid w:val="1CF04039"/>
    <w:rsid w:val="1CFA78FA"/>
    <w:rsid w:val="1D0E1782"/>
    <w:rsid w:val="1D1E2B80"/>
    <w:rsid w:val="1D241671"/>
    <w:rsid w:val="1D262802"/>
    <w:rsid w:val="1D2D3A78"/>
    <w:rsid w:val="1D3422A3"/>
    <w:rsid w:val="1D385738"/>
    <w:rsid w:val="1D580B18"/>
    <w:rsid w:val="1D6755E9"/>
    <w:rsid w:val="1D6D51D0"/>
    <w:rsid w:val="1D6E5EC0"/>
    <w:rsid w:val="1D70719F"/>
    <w:rsid w:val="1D9846DA"/>
    <w:rsid w:val="1DB32BF8"/>
    <w:rsid w:val="1DB77C94"/>
    <w:rsid w:val="1DB94F37"/>
    <w:rsid w:val="1DD036F4"/>
    <w:rsid w:val="1DD77233"/>
    <w:rsid w:val="1DE66AC1"/>
    <w:rsid w:val="1DEB2FEC"/>
    <w:rsid w:val="1DEF4F15"/>
    <w:rsid w:val="1DF905FE"/>
    <w:rsid w:val="1E015DB4"/>
    <w:rsid w:val="1E234E4E"/>
    <w:rsid w:val="1E26473B"/>
    <w:rsid w:val="1E2C5DC4"/>
    <w:rsid w:val="1E34372D"/>
    <w:rsid w:val="1E352E43"/>
    <w:rsid w:val="1E3E5DB1"/>
    <w:rsid w:val="1E73093F"/>
    <w:rsid w:val="1E7552DD"/>
    <w:rsid w:val="1E8F4E9E"/>
    <w:rsid w:val="1E915EC0"/>
    <w:rsid w:val="1EA91FAA"/>
    <w:rsid w:val="1EAF716D"/>
    <w:rsid w:val="1EB27D41"/>
    <w:rsid w:val="1EB47F54"/>
    <w:rsid w:val="1EB65E82"/>
    <w:rsid w:val="1EB97E90"/>
    <w:rsid w:val="1EC3656C"/>
    <w:rsid w:val="1EC4118C"/>
    <w:rsid w:val="1EC73605"/>
    <w:rsid w:val="1EDE2A86"/>
    <w:rsid w:val="1EEF099A"/>
    <w:rsid w:val="1EFF777C"/>
    <w:rsid w:val="1EFFEEBD"/>
    <w:rsid w:val="1F053605"/>
    <w:rsid w:val="1F1160AF"/>
    <w:rsid w:val="1F134084"/>
    <w:rsid w:val="1F19605B"/>
    <w:rsid w:val="1F1B23C3"/>
    <w:rsid w:val="1F1F4FDC"/>
    <w:rsid w:val="1F23243C"/>
    <w:rsid w:val="1F2C4F90"/>
    <w:rsid w:val="1F2D3FBB"/>
    <w:rsid w:val="1F2D58A2"/>
    <w:rsid w:val="1F2F1C87"/>
    <w:rsid w:val="1F386417"/>
    <w:rsid w:val="1F4124B7"/>
    <w:rsid w:val="1F457E45"/>
    <w:rsid w:val="1F5E2A82"/>
    <w:rsid w:val="1F5F2496"/>
    <w:rsid w:val="1F655668"/>
    <w:rsid w:val="1F7E554F"/>
    <w:rsid w:val="1F815C01"/>
    <w:rsid w:val="1F93060B"/>
    <w:rsid w:val="1F9A5EB1"/>
    <w:rsid w:val="1FA8432E"/>
    <w:rsid w:val="1FB2333E"/>
    <w:rsid w:val="1FC464B7"/>
    <w:rsid w:val="1FC525EE"/>
    <w:rsid w:val="1FCA07A1"/>
    <w:rsid w:val="1FCA3967"/>
    <w:rsid w:val="1FCB5B28"/>
    <w:rsid w:val="1FD03313"/>
    <w:rsid w:val="1FD43ED5"/>
    <w:rsid w:val="1FD520D1"/>
    <w:rsid w:val="1FD769C8"/>
    <w:rsid w:val="1FE85BFD"/>
    <w:rsid w:val="1FEF25A9"/>
    <w:rsid w:val="1FF42D77"/>
    <w:rsid w:val="2006082F"/>
    <w:rsid w:val="20060893"/>
    <w:rsid w:val="200962CC"/>
    <w:rsid w:val="200979DF"/>
    <w:rsid w:val="201927D2"/>
    <w:rsid w:val="201B43DE"/>
    <w:rsid w:val="20360B6C"/>
    <w:rsid w:val="2037173F"/>
    <w:rsid w:val="203C52A3"/>
    <w:rsid w:val="205145E9"/>
    <w:rsid w:val="20707879"/>
    <w:rsid w:val="20730B1D"/>
    <w:rsid w:val="20756457"/>
    <w:rsid w:val="209A49C9"/>
    <w:rsid w:val="20A27A6B"/>
    <w:rsid w:val="20A5213F"/>
    <w:rsid w:val="20AF027C"/>
    <w:rsid w:val="20B40BCD"/>
    <w:rsid w:val="20B575C1"/>
    <w:rsid w:val="20BC1B5B"/>
    <w:rsid w:val="20C72820"/>
    <w:rsid w:val="20CD7B08"/>
    <w:rsid w:val="20D26E24"/>
    <w:rsid w:val="20E103A7"/>
    <w:rsid w:val="20F050CC"/>
    <w:rsid w:val="21030D88"/>
    <w:rsid w:val="21106A02"/>
    <w:rsid w:val="211C0D9B"/>
    <w:rsid w:val="214A59FD"/>
    <w:rsid w:val="2153143A"/>
    <w:rsid w:val="215D47DF"/>
    <w:rsid w:val="217E0509"/>
    <w:rsid w:val="2181224F"/>
    <w:rsid w:val="218C5B46"/>
    <w:rsid w:val="218E3CD6"/>
    <w:rsid w:val="21905B11"/>
    <w:rsid w:val="21AC2ADD"/>
    <w:rsid w:val="21AD0C32"/>
    <w:rsid w:val="21C37287"/>
    <w:rsid w:val="21C719DE"/>
    <w:rsid w:val="21DD1739"/>
    <w:rsid w:val="21E22DF9"/>
    <w:rsid w:val="21ED0BF4"/>
    <w:rsid w:val="21FE0008"/>
    <w:rsid w:val="221244E8"/>
    <w:rsid w:val="221C25F5"/>
    <w:rsid w:val="22351BAA"/>
    <w:rsid w:val="223A121A"/>
    <w:rsid w:val="224B5C8D"/>
    <w:rsid w:val="224C4144"/>
    <w:rsid w:val="22532437"/>
    <w:rsid w:val="2270766C"/>
    <w:rsid w:val="22790480"/>
    <w:rsid w:val="2281733D"/>
    <w:rsid w:val="228C6817"/>
    <w:rsid w:val="228E7094"/>
    <w:rsid w:val="229E6161"/>
    <w:rsid w:val="22A868FA"/>
    <w:rsid w:val="22A962B7"/>
    <w:rsid w:val="22AA2187"/>
    <w:rsid w:val="22B965C3"/>
    <w:rsid w:val="22BB4509"/>
    <w:rsid w:val="22BB6C8D"/>
    <w:rsid w:val="22C676BD"/>
    <w:rsid w:val="22CE59E2"/>
    <w:rsid w:val="22D03B40"/>
    <w:rsid w:val="22F07C07"/>
    <w:rsid w:val="22F07DE8"/>
    <w:rsid w:val="22F30351"/>
    <w:rsid w:val="22F9583E"/>
    <w:rsid w:val="230E7B54"/>
    <w:rsid w:val="231D6E71"/>
    <w:rsid w:val="23390D88"/>
    <w:rsid w:val="233A3AE3"/>
    <w:rsid w:val="23410233"/>
    <w:rsid w:val="234970AA"/>
    <w:rsid w:val="23702FD7"/>
    <w:rsid w:val="23705695"/>
    <w:rsid w:val="23707594"/>
    <w:rsid w:val="237F0C29"/>
    <w:rsid w:val="2389626A"/>
    <w:rsid w:val="2398459E"/>
    <w:rsid w:val="239D68C2"/>
    <w:rsid w:val="239E07CF"/>
    <w:rsid w:val="23A323B9"/>
    <w:rsid w:val="23AA26A6"/>
    <w:rsid w:val="23AA598F"/>
    <w:rsid w:val="23AD2C44"/>
    <w:rsid w:val="23B1004E"/>
    <w:rsid w:val="23B2023C"/>
    <w:rsid w:val="23BD74D2"/>
    <w:rsid w:val="23BF6FE4"/>
    <w:rsid w:val="23C308E2"/>
    <w:rsid w:val="23CE1DFC"/>
    <w:rsid w:val="23D675C0"/>
    <w:rsid w:val="23DB32CD"/>
    <w:rsid w:val="23DE1775"/>
    <w:rsid w:val="23F8526A"/>
    <w:rsid w:val="23FE0AED"/>
    <w:rsid w:val="241B7BBD"/>
    <w:rsid w:val="241D2F3D"/>
    <w:rsid w:val="24201A05"/>
    <w:rsid w:val="24294525"/>
    <w:rsid w:val="242A59CE"/>
    <w:rsid w:val="24342281"/>
    <w:rsid w:val="244F4564"/>
    <w:rsid w:val="246255E6"/>
    <w:rsid w:val="246959BC"/>
    <w:rsid w:val="246D02D3"/>
    <w:rsid w:val="246F5266"/>
    <w:rsid w:val="24755C9D"/>
    <w:rsid w:val="24806BAA"/>
    <w:rsid w:val="2483395C"/>
    <w:rsid w:val="248B7883"/>
    <w:rsid w:val="24972F5C"/>
    <w:rsid w:val="249910F0"/>
    <w:rsid w:val="24A208BD"/>
    <w:rsid w:val="24AC6EAF"/>
    <w:rsid w:val="24B27742"/>
    <w:rsid w:val="24BB285C"/>
    <w:rsid w:val="24BE4940"/>
    <w:rsid w:val="24D07B72"/>
    <w:rsid w:val="24D97744"/>
    <w:rsid w:val="24EC3D56"/>
    <w:rsid w:val="24F7637C"/>
    <w:rsid w:val="24F96332"/>
    <w:rsid w:val="2519134C"/>
    <w:rsid w:val="2526280D"/>
    <w:rsid w:val="252B44E1"/>
    <w:rsid w:val="25324716"/>
    <w:rsid w:val="253A2EDA"/>
    <w:rsid w:val="253F3DB2"/>
    <w:rsid w:val="254215B0"/>
    <w:rsid w:val="254A062F"/>
    <w:rsid w:val="254B1942"/>
    <w:rsid w:val="255C295A"/>
    <w:rsid w:val="256264F7"/>
    <w:rsid w:val="257961C7"/>
    <w:rsid w:val="259D7226"/>
    <w:rsid w:val="25A46A0E"/>
    <w:rsid w:val="25B42599"/>
    <w:rsid w:val="25B94099"/>
    <w:rsid w:val="25C65B77"/>
    <w:rsid w:val="25CC54F9"/>
    <w:rsid w:val="25CD0CC3"/>
    <w:rsid w:val="260059C6"/>
    <w:rsid w:val="260D7702"/>
    <w:rsid w:val="260E7FC9"/>
    <w:rsid w:val="26207474"/>
    <w:rsid w:val="26263695"/>
    <w:rsid w:val="26292110"/>
    <w:rsid w:val="26343A3B"/>
    <w:rsid w:val="264362D7"/>
    <w:rsid w:val="264939F7"/>
    <w:rsid w:val="26772125"/>
    <w:rsid w:val="26842EC1"/>
    <w:rsid w:val="26881354"/>
    <w:rsid w:val="26951343"/>
    <w:rsid w:val="26B41D69"/>
    <w:rsid w:val="26BA0C1F"/>
    <w:rsid w:val="26BB2DDD"/>
    <w:rsid w:val="26BC59AB"/>
    <w:rsid w:val="26C113F6"/>
    <w:rsid w:val="26CC0192"/>
    <w:rsid w:val="26D60942"/>
    <w:rsid w:val="26D66C34"/>
    <w:rsid w:val="26F77B05"/>
    <w:rsid w:val="26FC1127"/>
    <w:rsid w:val="27106B23"/>
    <w:rsid w:val="27145DF1"/>
    <w:rsid w:val="2725762E"/>
    <w:rsid w:val="27396986"/>
    <w:rsid w:val="273B4066"/>
    <w:rsid w:val="27433BDD"/>
    <w:rsid w:val="27545E9E"/>
    <w:rsid w:val="276C1040"/>
    <w:rsid w:val="27746BA8"/>
    <w:rsid w:val="27826B2F"/>
    <w:rsid w:val="279759C6"/>
    <w:rsid w:val="279C4FEE"/>
    <w:rsid w:val="279D0195"/>
    <w:rsid w:val="279E3E88"/>
    <w:rsid w:val="27A770DA"/>
    <w:rsid w:val="27B223CD"/>
    <w:rsid w:val="27BF5D8E"/>
    <w:rsid w:val="27C772F8"/>
    <w:rsid w:val="27C83D3D"/>
    <w:rsid w:val="27CC630D"/>
    <w:rsid w:val="27D5016A"/>
    <w:rsid w:val="27DD12A2"/>
    <w:rsid w:val="27EF784A"/>
    <w:rsid w:val="27F43ED1"/>
    <w:rsid w:val="27F76BFF"/>
    <w:rsid w:val="27FB419C"/>
    <w:rsid w:val="2802747F"/>
    <w:rsid w:val="280542B6"/>
    <w:rsid w:val="280C2D0A"/>
    <w:rsid w:val="281C4378"/>
    <w:rsid w:val="281E3AC8"/>
    <w:rsid w:val="28294C6A"/>
    <w:rsid w:val="28330B32"/>
    <w:rsid w:val="2838280F"/>
    <w:rsid w:val="284850F4"/>
    <w:rsid w:val="28545B0C"/>
    <w:rsid w:val="285543A4"/>
    <w:rsid w:val="285B0D9F"/>
    <w:rsid w:val="286D4E58"/>
    <w:rsid w:val="287E2BE2"/>
    <w:rsid w:val="288D2575"/>
    <w:rsid w:val="2892519F"/>
    <w:rsid w:val="28981AD1"/>
    <w:rsid w:val="28A001CB"/>
    <w:rsid w:val="28A15F89"/>
    <w:rsid w:val="28A375E6"/>
    <w:rsid w:val="28B02F57"/>
    <w:rsid w:val="28B74980"/>
    <w:rsid w:val="28C66821"/>
    <w:rsid w:val="28CA6480"/>
    <w:rsid w:val="28D20B8E"/>
    <w:rsid w:val="28D70423"/>
    <w:rsid w:val="28E768A2"/>
    <w:rsid w:val="28F40FDD"/>
    <w:rsid w:val="290C0A21"/>
    <w:rsid w:val="290E7A9A"/>
    <w:rsid w:val="29163D96"/>
    <w:rsid w:val="29277B11"/>
    <w:rsid w:val="29364D6D"/>
    <w:rsid w:val="29453CE3"/>
    <w:rsid w:val="295F2512"/>
    <w:rsid w:val="2971661A"/>
    <w:rsid w:val="29794DB8"/>
    <w:rsid w:val="298361DA"/>
    <w:rsid w:val="2984437D"/>
    <w:rsid w:val="298556D5"/>
    <w:rsid w:val="2995304D"/>
    <w:rsid w:val="299D131A"/>
    <w:rsid w:val="29C75BCC"/>
    <w:rsid w:val="29D15979"/>
    <w:rsid w:val="29D5660C"/>
    <w:rsid w:val="29DA2F38"/>
    <w:rsid w:val="29EE0F30"/>
    <w:rsid w:val="29F529B1"/>
    <w:rsid w:val="29FE2953"/>
    <w:rsid w:val="2A2D2230"/>
    <w:rsid w:val="2A3555BC"/>
    <w:rsid w:val="2A492F99"/>
    <w:rsid w:val="2A4C76CF"/>
    <w:rsid w:val="2A5B0DB3"/>
    <w:rsid w:val="2A6A2163"/>
    <w:rsid w:val="2A873DEB"/>
    <w:rsid w:val="2A9D5238"/>
    <w:rsid w:val="2AA11318"/>
    <w:rsid w:val="2AA30FD5"/>
    <w:rsid w:val="2AA41E19"/>
    <w:rsid w:val="2ABA47AC"/>
    <w:rsid w:val="2ACA7E67"/>
    <w:rsid w:val="2ACF3E7B"/>
    <w:rsid w:val="2AD61FA9"/>
    <w:rsid w:val="2AD956BA"/>
    <w:rsid w:val="2ADE6B3A"/>
    <w:rsid w:val="2AEE6D91"/>
    <w:rsid w:val="2B0765AE"/>
    <w:rsid w:val="2B0A7C42"/>
    <w:rsid w:val="2B1C583B"/>
    <w:rsid w:val="2B20734A"/>
    <w:rsid w:val="2B3176A0"/>
    <w:rsid w:val="2B3329DE"/>
    <w:rsid w:val="2B3605F4"/>
    <w:rsid w:val="2B397D55"/>
    <w:rsid w:val="2B3B7BED"/>
    <w:rsid w:val="2B3D1578"/>
    <w:rsid w:val="2B4022F0"/>
    <w:rsid w:val="2B4169E0"/>
    <w:rsid w:val="2B502E5A"/>
    <w:rsid w:val="2B612949"/>
    <w:rsid w:val="2B667E1C"/>
    <w:rsid w:val="2B6A0C1A"/>
    <w:rsid w:val="2B6B3A11"/>
    <w:rsid w:val="2B6C228C"/>
    <w:rsid w:val="2B6F50E4"/>
    <w:rsid w:val="2B6F5776"/>
    <w:rsid w:val="2B807DB7"/>
    <w:rsid w:val="2B966F1E"/>
    <w:rsid w:val="2B974874"/>
    <w:rsid w:val="2BB45FA4"/>
    <w:rsid w:val="2BBE17A1"/>
    <w:rsid w:val="2BBE6F11"/>
    <w:rsid w:val="2BBF3B12"/>
    <w:rsid w:val="2BC05ABD"/>
    <w:rsid w:val="2BCC6B39"/>
    <w:rsid w:val="2BD1081A"/>
    <w:rsid w:val="2BDD0285"/>
    <w:rsid w:val="2BE96E82"/>
    <w:rsid w:val="2BF45423"/>
    <w:rsid w:val="2BF72C1F"/>
    <w:rsid w:val="2BFC2646"/>
    <w:rsid w:val="2C0D4279"/>
    <w:rsid w:val="2C1D11CF"/>
    <w:rsid w:val="2C285BC1"/>
    <w:rsid w:val="2C423DB4"/>
    <w:rsid w:val="2C42462B"/>
    <w:rsid w:val="2C516A9D"/>
    <w:rsid w:val="2C553AD7"/>
    <w:rsid w:val="2C5729F1"/>
    <w:rsid w:val="2C5E3D92"/>
    <w:rsid w:val="2C666748"/>
    <w:rsid w:val="2C78583B"/>
    <w:rsid w:val="2C79616F"/>
    <w:rsid w:val="2C7B7EE6"/>
    <w:rsid w:val="2C926FCD"/>
    <w:rsid w:val="2CA50DE1"/>
    <w:rsid w:val="2CA57171"/>
    <w:rsid w:val="2CAA48E1"/>
    <w:rsid w:val="2CC66F41"/>
    <w:rsid w:val="2CC831B6"/>
    <w:rsid w:val="2CC9189F"/>
    <w:rsid w:val="2CCB0544"/>
    <w:rsid w:val="2CCB3BCA"/>
    <w:rsid w:val="2CD815F8"/>
    <w:rsid w:val="2CDE3EAD"/>
    <w:rsid w:val="2CEE35A9"/>
    <w:rsid w:val="2CEF3284"/>
    <w:rsid w:val="2D090FBB"/>
    <w:rsid w:val="2D10313A"/>
    <w:rsid w:val="2D2353DF"/>
    <w:rsid w:val="2D3817A3"/>
    <w:rsid w:val="2D3C3B82"/>
    <w:rsid w:val="2D425268"/>
    <w:rsid w:val="2D471A5B"/>
    <w:rsid w:val="2D4B6FE6"/>
    <w:rsid w:val="2D65450D"/>
    <w:rsid w:val="2D764902"/>
    <w:rsid w:val="2DA04528"/>
    <w:rsid w:val="2DB43208"/>
    <w:rsid w:val="2DB62E3F"/>
    <w:rsid w:val="2DCA62A2"/>
    <w:rsid w:val="2DD3154F"/>
    <w:rsid w:val="2DD76567"/>
    <w:rsid w:val="2DDE3A92"/>
    <w:rsid w:val="2E122A5A"/>
    <w:rsid w:val="2E167299"/>
    <w:rsid w:val="2E22588A"/>
    <w:rsid w:val="2E277FD9"/>
    <w:rsid w:val="2E2E7036"/>
    <w:rsid w:val="2E3D76AC"/>
    <w:rsid w:val="2E4713F8"/>
    <w:rsid w:val="2E4A56A0"/>
    <w:rsid w:val="2E4A7918"/>
    <w:rsid w:val="2E513F75"/>
    <w:rsid w:val="2E52620D"/>
    <w:rsid w:val="2E7639F3"/>
    <w:rsid w:val="2E80208F"/>
    <w:rsid w:val="2E813783"/>
    <w:rsid w:val="2E950AE4"/>
    <w:rsid w:val="2EAC78A4"/>
    <w:rsid w:val="2ECC00E1"/>
    <w:rsid w:val="2ECC17E8"/>
    <w:rsid w:val="2ECD55A9"/>
    <w:rsid w:val="2ED356C0"/>
    <w:rsid w:val="2EE370FD"/>
    <w:rsid w:val="2EEB3B9F"/>
    <w:rsid w:val="2EEF58F3"/>
    <w:rsid w:val="2EF7E1A9"/>
    <w:rsid w:val="2EFB3084"/>
    <w:rsid w:val="2F014B74"/>
    <w:rsid w:val="2F0D4587"/>
    <w:rsid w:val="2F364C3E"/>
    <w:rsid w:val="2F3B6ECD"/>
    <w:rsid w:val="2F4104EC"/>
    <w:rsid w:val="2F44153D"/>
    <w:rsid w:val="2F566B0A"/>
    <w:rsid w:val="2F572606"/>
    <w:rsid w:val="2F5F485B"/>
    <w:rsid w:val="2F63D1F1"/>
    <w:rsid w:val="2F6820AA"/>
    <w:rsid w:val="2F6A2923"/>
    <w:rsid w:val="2F7263EE"/>
    <w:rsid w:val="2F772122"/>
    <w:rsid w:val="2FA14C83"/>
    <w:rsid w:val="2FA34A32"/>
    <w:rsid w:val="2FA67E50"/>
    <w:rsid w:val="2FC039B7"/>
    <w:rsid w:val="2FCC470D"/>
    <w:rsid w:val="2FCD6359"/>
    <w:rsid w:val="2FE4082D"/>
    <w:rsid w:val="2FFA3727"/>
    <w:rsid w:val="30043105"/>
    <w:rsid w:val="301636B2"/>
    <w:rsid w:val="30304F6F"/>
    <w:rsid w:val="30316731"/>
    <w:rsid w:val="30386C56"/>
    <w:rsid w:val="303E79EB"/>
    <w:rsid w:val="30423C0B"/>
    <w:rsid w:val="3048593F"/>
    <w:rsid w:val="306F18AC"/>
    <w:rsid w:val="307E5CC5"/>
    <w:rsid w:val="3089047E"/>
    <w:rsid w:val="30937081"/>
    <w:rsid w:val="30C731C0"/>
    <w:rsid w:val="30D12667"/>
    <w:rsid w:val="30D738DD"/>
    <w:rsid w:val="30DD1F66"/>
    <w:rsid w:val="30E96B84"/>
    <w:rsid w:val="30EB38AC"/>
    <w:rsid w:val="30ED466E"/>
    <w:rsid w:val="30FA1648"/>
    <w:rsid w:val="31143EA8"/>
    <w:rsid w:val="311514EC"/>
    <w:rsid w:val="311B2D67"/>
    <w:rsid w:val="31221AE7"/>
    <w:rsid w:val="31225631"/>
    <w:rsid w:val="3128585D"/>
    <w:rsid w:val="313337BF"/>
    <w:rsid w:val="31423076"/>
    <w:rsid w:val="31526A55"/>
    <w:rsid w:val="315721BD"/>
    <w:rsid w:val="31594803"/>
    <w:rsid w:val="315D6C98"/>
    <w:rsid w:val="316308BA"/>
    <w:rsid w:val="3195334D"/>
    <w:rsid w:val="31981B8F"/>
    <w:rsid w:val="31A05A89"/>
    <w:rsid w:val="31B92DAB"/>
    <w:rsid w:val="31C41E86"/>
    <w:rsid w:val="31CB61B2"/>
    <w:rsid w:val="31DC54B7"/>
    <w:rsid w:val="31E27181"/>
    <w:rsid w:val="31E84021"/>
    <w:rsid w:val="31E86341"/>
    <w:rsid w:val="31F7250C"/>
    <w:rsid w:val="31FD03C3"/>
    <w:rsid w:val="320D5FF6"/>
    <w:rsid w:val="32141ED8"/>
    <w:rsid w:val="321669FD"/>
    <w:rsid w:val="32435575"/>
    <w:rsid w:val="325D5F71"/>
    <w:rsid w:val="326339DC"/>
    <w:rsid w:val="32680598"/>
    <w:rsid w:val="329A52F2"/>
    <w:rsid w:val="329B62FA"/>
    <w:rsid w:val="32B10691"/>
    <w:rsid w:val="32BB1AB2"/>
    <w:rsid w:val="32C24F04"/>
    <w:rsid w:val="32C31B9C"/>
    <w:rsid w:val="32DB4AC4"/>
    <w:rsid w:val="32E32133"/>
    <w:rsid w:val="32E47668"/>
    <w:rsid w:val="32F553A9"/>
    <w:rsid w:val="32F62B29"/>
    <w:rsid w:val="32FC5ED9"/>
    <w:rsid w:val="33147DE5"/>
    <w:rsid w:val="3317179A"/>
    <w:rsid w:val="332A3949"/>
    <w:rsid w:val="33303727"/>
    <w:rsid w:val="33395663"/>
    <w:rsid w:val="333FC21D"/>
    <w:rsid w:val="334700F2"/>
    <w:rsid w:val="334770C2"/>
    <w:rsid w:val="33517230"/>
    <w:rsid w:val="3361555B"/>
    <w:rsid w:val="3374727E"/>
    <w:rsid w:val="33787128"/>
    <w:rsid w:val="33842F9E"/>
    <w:rsid w:val="338578A9"/>
    <w:rsid w:val="338B6DDE"/>
    <w:rsid w:val="338C1BDB"/>
    <w:rsid w:val="33910A1A"/>
    <w:rsid w:val="33913C62"/>
    <w:rsid w:val="33947980"/>
    <w:rsid w:val="339E5DD0"/>
    <w:rsid w:val="33B41DAB"/>
    <w:rsid w:val="33C90016"/>
    <w:rsid w:val="33CF1FFD"/>
    <w:rsid w:val="33DA2894"/>
    <w:rsid w:val="33DE52A5"/>
    <w:rsid w:val="33DF8E22"/>
    <w:rsid w:val="33E51F87"/>
    <w:rsid w:val="33ED7331"/>
    <w:rsid w:val="34000FAD"/>
    <w:rsid w:val="343B585D"/>
    <w:rsid w:val="343E5D98"/>
    <w:rsid w:val="34464B90"/>
    <w:rsid w:val="34482A1D"/>
    <w:rsid w:val="345C5166"/>
    <w:rsid w:val="34762E5D"/>
    <w:rsid w:val="348B1570"/>
    <w:rsid w:val="349C27EB"/>
    <w:rsid w:val="34C021A2"/>
    <w:rsid w:val="34D540D1"/>
    <w:rsid w:val="34E47274"/>
    <w:rsid w:val="34F53D7D"/>
    <w:rsid w:val="350435F7"/>
    <w:rsid w:val="35075B0C"/>
    <w:rsid w:val="3520130D"/>
    <w:rsid w:val="352216A0"/>
    <w:rsid w:val="35235685"/>
    <w:rsid w:val="35330DA1"/>
    <w:rsid w:val="35436477"/>
    <w:rsid w:val="35503B2C"/>
    <w:rsid w:val="35614015"/>
    <w:rsid w:val="356B59F2"/>
    <w:rsid w:val="356D10FD"/>
    <w:rsid w:val="356E3C58"/>
    <w:rsid w:val="35724876"/>
    <w:rsid w:val="35774A05"/>
    <w:rsid w:val="357F59B1"/>
    <w:rsid w:val="359527F6"/>
    <w:rsid w:val="359F73CC"/>
    <w:rsid w:val="35A24E13"/>
    <w:rsid w:val="35B31E2C"/>
    <w:rsid w:val="35B5460A"/>
    <w:rsid w:val="35C140F6"/>
    <w:rsid w:val="35E55503"/>
    <w:rsid w:val="35F02ACF"/>
    <w:rsid w:val="36033103"/>
    <w:rsid w:val="36094E64"/>
    <w:rsid w:val="36164269"/>
    <w:rsid w:val="361971D0"/>
    <w:rsid w:val="362262CA"/>
    <w:rsid w:val="36265B9B"/>
    <w:rsid w:val="363357FB"/>
    <w:rsid w:val="3640708F"/>
    <w:rsid w:val="364349AB"/>
    <w:rsid w:val="36482B12"/>
    <w:rsid w:val="36502FA8"/>
    <w:rsid w:val="3654630F"/>
    <w:rsid w:val="366A4DEE"/>
    <w:rsid w:val="368F4480"/>
    <w:rsid w:val="369254F8"/>
    <w:rsid w:val="36977293"/>
    <w:rsid w:val="36996DA1"/>
    <w:rsid w:val="369C542B"/>
    <w:rsid w:val="36B068B8"/>
    <w:rsid w:val="36C561A1"/>
    <w:rsid w:val="36CF3A51"/>
    <w:rsid w:val="36D539F7"/>
    <w:rsid w:val="372F0AFB"/>
    <w:rsid w:val="373F0752"/>
    <w:rsid w:val="37400F97"/>
    <w:rsid w:val="37427068"/>
    <w:rsid w:val="3744389A"/>
    <w:rsid w:val="37504B47"/>
    <w:rsid w:val="376B3A76"/>
    <w:rsid w:val="376C010C"/>
    <w:rsid w:val="376F2DDD"/>
    <w:rsid w:val="377A5CA4"/>
    <w:rsid w:val="378A3A3A"/>
    <w:rsid w:val="379A2654"/>
    <w:rsid w:val="37A02698"/>
    <w:rsid w:val="37A468BA"/>
    <w:rsid w:val="37BA5174"/>
    <w:rsid w:val="37BE2F62"/>
    <w:rsid w:val="37C926C0"/>
    <w:rsid w:val="37D31BE8"/>
    <w:rsid w:val="37DA55C6"/>
    <w:rsid w:val="37E23391"/>
    <w:rsid w:val="37F8736C"/>
    <w:rsid w:val="380502A6"/>
    <w:rsid w:val="38182C21"/>
    <w:rsid w:val="3818440F"/>
    <w:rsid w:val="38253094"/>
    <w:rsid w:val="3837006E"/>
    <w:rsid w:val="38403FCF"/>
    <w:rsid w:val="384C46B5"/>
    <w:rsid w:val="385F3EFA"/>
    <w:rsid w:val="38622943"/>
    <w:rsid w:val="386C4C01"/>
    <w:rsid w:val="38760334"/>
    <w:rsid w:val="387C198B"/>
    <w:rsid w:val="388D1A99"/>
    <w:rsid w:val="38910010"/>
    <w:rsid w:val="3897620F"/>
    <w:rsid w:val="389E7B3C"/>
    <w:rsid w:val="38B56BD0"/>
    <w:rsid w:val="38D36A35"/>
    <w:rsid w:val="38DF5906"/>
    <w:rsid w:val="38E55E74"/>
    <w:rsid w:val="38FA1063"/>
    <w:rsid w:val="390557DD"/>
    <w:rsid w:val="39076073"/>
    <w:rsid w:val="39465846"/>
    <w:rsid w:val="39486C43"/>
    <w:rsid w:val="394C6C36"/>
    <w:rsid w:val="3959405E"/>
    <w:rsid w:val="395A7822"/>
    <w:rsid w:val="3990632D"/>
    <w:rsid w:val="39907D0A"/>
    <w:rsid w:val="3997027D"/>
    <w:rsid w:val="399E1DE5"/>
    <w:rsid w:val="39B172D1"/>
    <w:rsid w:val="39B60357"/>
    <w:rsid w:val="39CB1B22"/>
    <w:rsid w:val="39D94ADC"/>
    <w:rsid w:val="39DC25A4"/>
    <w:rsid w:val="39E50B2A"/>
    <w:rsid w:val="39E96027"/>
    <w:rsid w:val="39EA7E92"/>
    <w:rsid w:val="39EC33EB"/>
    <w:rsid w:val="39F6318E"/>
    <w:rsid w:val="39F90138"/>
    <w:rsid w:val="3A0360E8"/>
    <w:rsid w:val="3A0448E3"/>
    <w:rsid w:val="3A122E26"/>
    <w:rsid w:val="3A1A30F3"/>
    <w:rsid w:val="3A332488"/>
    <w:rsid w:val="3A33466D"/>
    <w:rsid w:val="3A344975"/>
    <w:rsid w:val="3A4C0BD4"/>
    <w:rsid w:val="3A52507A"/>
    <w:rsid w:val="3A5A0749"/>
    <w:rsid w:val="3A5A70DE"/>
    <w:rsid w:val="3A6D530D"/>
    <w:rsid w:val="3AB1749C"/>
    <w:rsid w:val="3ABB3474"/>
    <w:rsid w:val="3AC86CE9"/>
    <w:rsid w:val="3AD03C48"/>
    <w:rsid w:val="3ADB6A75"/>
    <w:rsid w:val="3ADD7D94"/>
    <w:rsid w:val="3AE13AE0"/>
    <w:rsid w:val="3AE5180D"/>
    <w:rsid w:val="3B07057C"/>
    <w:rsid w:val="3B0D2EF1"/>
    <w:rsid w:val="3B0F77D8"/>
    <w:rsid w:val="3B1C1F18"/>
    <w:rsid w:val="3B1E73D1"/>
    <w:rsid w:val="3B22535C"/>
    <w:rsid w:val="3B2C0FF0"/>
    <w:rsid w:val="3B2C7825"/>
    <w:rsid w:val="3B2F61B7"/>
    <w:rsid w:val="3B303D5C"/>
    <w:rsid w:val="3B4C4FD3"/>
    <w:rsid w:val="3B62584D"/>
    <w:rsid w:val="3B6C42D7"/>
    <w:rsid w:val="3B7755EF"/>
    <w:rsid w:val="3B8C1514"/>
    <w:rsid w:val="3B98710E"/>
    <w:rsid w:val="3BA972F5"/>
    <w:rsid w:val="3BAC4F7A"/>
    <w:rsid w:val="3BAF645F"/>
    <w:rsid w:val="3BB57E81"/>
    <w:rsid w:val="3BBA4E8D"/>
    <w:rsid w:val="3BBC6D2A"/>
    <w:rsid w:val="3BC04ED7"/>
    <w:rsid w:val="3BC13850"/>
    <w:rsid w:val="3BCF016B"/>
    <w:rsid w:val="3BD4693D"/>
    <w:rsid w:val="3BE0036E"/>
    <w:rsid w:val="3C001A8B"/>
    <w:rsid w:val="3C04697E"/>
    <w:rsid w:val="3C0B154C"/>
    <w:rsid w:val="3C0B38B2"/>
    <w:rsid w:val="3C194481"/>
    <w:rsid w:val="3C2139B5"/>
    <w:rsid w:val="3C2F2D82"/>
    <w:rsid w:val="3C332496"/>
    <w:rsid w:val="3C376F8A"/>
    <w:rsid w:val="3C412DD9"/>
    <w:rsid w:val="3C475ACA"/>
    <w:rsid w:val="3C6E44B5"/>
    <w:rsid w:val="3C761802"/>
    <w:rsid w:val="3C7D0B3C"/>
    <w:rsid w:val="3CA52533"/>
    <w:rsid w:val="3CA62C3D"/>
    <w:rsid w:val="3CAB7560"/>
    <w:rsid w:val="3CBE0948"/>
    <w:rsid w:val="3CD87819"/>
    <w:rsid w:val="3CDE6B6C"/>
    <w:rsid w:val="3CEA39BB"/>
    <w:rsid w:val="3CEF6007"/>
    <w:rsid w:val="3CF20EBE"/>
    <w:rsid w:val="3CF5372E"/>
    <w:rsid w:val="3CF94A40"/>
    <w:rsid w:val="3D157D71"/>
    <w:rsid w:val="3D250031"/>
    <w:rsid w:val="3D3357E4"/>
    <w:rsid w:val="3D3A5116"/>
    <w:rsid w:val="3D3D055F"/>
    <w:rsid w:val="3D523AC1"/>
    <w:rsid w:val="3D5703DF"/>
    <w:rsid w:val="3D63742E"/>
    <w:rsid w:val="3D7D78A5"/>
    <w:rsid w:val="3D82412B"/>
    <w:rsid w:val="3D8A03D5"/>
    <w:rsid w:val="3D985A7D"/>
    <w:rsid w:val="3D993CD6"/>
    <w:rsid w:val="3D9D5477"/>
    <w:rsid w:val="3DC302FB"/>
    <w:rsid w:val="3DC771AF"/>
    <w:rsid w:val="3DC80983"/>
    <w:rsid w:val="3DDE2329"/>
    <w:rsid w:val="3DE01BFC"/>
    <w:rsid w:val="3DE60701"/>
    <w:rsid w:val="3DF34228"/>
    <w:rsid w:val="3DF72E86"/>
    <w:rsid w:val="3DFB2918"/>
    <w:rsid w:val="3DFC0871"/>
    <w:rsid w:val="3DFD0679"/>
    <w:rsid w:val="3E031C61"/>
    <w:rsid w:val="3E0538AC"/>
    <w:rsid w:val="3E0E6921"/>
    <w:rsid w:val="3E232FE5"/>
    <w:rsid w:val="3E3148BE"/>
    <w:rsid w:val="3E35294F"/>
    <w:rsid w:val="3E41407A"/>
    <w:rsid w:val="3E432016"/>
    <w:rsid w:val="3E455B3B"/>
    <w:rsid w:val="3E5762DC"/>
    <w:rsid w:val="3E5D1D4B"/>
    <w:rsid w:val="3E5D32A3"/>
    <w:rsid w:val="3E625CD4"/>
    <w:rsid w:val="3E6B516A"/>
    <w:rsid w:val="3E737F77"/>
    <w:rsid w:val="3E7918D0"/>
    <w:rsid w:val="3E876F16"/>
    <w:rsid w:val="3E904095"/>
    <w:rsid w:val="3E9D0BE5"/>
    <w:rsid w:val="3E9E1ACF"/>
    <w:rsid w:val="3EA03B1C"/>
    <w:rsid w:val="3EA43088"/>
    <w:rsid w:val="3EAF72F8"/>
    <w:rsid w:val="3EC47A6E"/>
    <w:rsid w:val="3ED4666D"/>
    <w:rsid w:val="3ED912D3"/>
    <w:rsid w:val="3EE8681F"/>
    <w:rsid w:val="3EFC55DA"/>
    <w:rsid w:val="3F05605C"/>
    <w:rsid w:val="3F09048F"/>
    <w:rsid w:val="3F0C69CA"/>
    <w:rsid w:val="3F140DC9"/>
    <w:rsid w:val="3F1D4237"/>
    <w:rsid w:val="3F1E097F"/>
    <w:rsid w:val="3F2313C7"/>
    <w:rsid w:val="3F272BEE"/>
    <w:rsid w:val="3F347555"/>
    <w:rsid w:val="3F4346A1"/>
    <w:rsid w:val="3F4A3552"/>
    <w:rsid w:val="3F4B3416"/>
    <w:rsid w:val="3F54305E"/>
    <w:rsid w:val="3F553940"/>
    <w:rsid w:val="3F5A4831"/>
    <w:rsid w:val="3F5C3024"/>
    <w:rsid w:val="3F5D6EB2"/>
    <w:rsid w:val="3F670FEE"/>
    <w:rsid w:val="3F6F755F"/>
    <w:rsid w:val="3F7B36D8"/>
    <w:rsid w:val="3F94490D"/>
    <w:rsid w:val="3F9B2F6D"/>
    <w:rsid w:val="3FA660FD"/>
    <w:rsid w:val="3FAB0FE1"/>
    <w:rsid w:val="3FBC9AC9"/>
    <w:rsid w:val="3FC4585B"/>
    <w:rsid w:val="3FD16755"/>
    <w:rsid w:val="3FDE659A"/>
    <w:rsid w:val="3FE37496"/>
    <w:rsid w:val="3FE8018F"/>
    <w:rsid w:val="3FEA32F2"/>
    <w:rsid w:val="3FF712DF"/>
    <w:rsid w:val="3FFD3F6D"/>
    <w:rsid w:val="40042E20"/>
    <w:rsid w:val="40075DDC"/>
    <w:rsid w:val="401D4747"/>
    <w:rsid w:val="4029745B"/>
    <w:rsid w:val="40346C0F"/>
    <w:rsid w:val="40374964"/>
    <w:rsid w:val="403D03F4"/>
    <w:rsid w:val="40465B0F"/>
    <w:rsid w:val="40534BA3"/>
    <w:rsid w:val="40580CB6"/>
    <w:rsid w:val="4060429C"/>
    <w:rsid w:val="40650932"/>
    <w:rsid w:val="40822CBF"/>
    <w:rsid w:val="408C4DD8"/>
    <w:rsid w:val="408D6986"/>
    <w:rsid w:val="408E0811"/>
    <w:rsid w:val="409A5312"/>
    <w:rsid w:val="40A150A6"/>
    <w:rsid w:val="40A424DC"/>
    <w:rsid w:val="40A96E30"/>
    <w:rsid w:val="40AD7E12"/>
    <w:rsid w:val="40B75F3A"/>
    <w:rsid w:val="40BC3A9D"/>
    <w:rsid w:val="40C74C97"/>
    <w:rsid w:val="40CD4104"/>
    <w:rsid w:val="40CE7C60"/>
    <w:rsid w:val="40D23204"/>
    <w:rsid w:val="40D67412"/>
    <w:rsid w:val="40F342F7"/>
    <w:rsid w:val="40FB3505"/>
    <w:rsid w:val="41090046"/>
    <w:rsid w:val="412D6F33"/>
    <w:rsid w:val="4130657A"/>
    <w:rsid w:val="413B6C93"/>
    <w:rsid w:val="41435F01"/>
    <w:rsid w:val="4153163B"/>
    <w:rsid w:val="41534061"/>
    <w:rsid w:val="41612352"/>
    <w:rsid w:val="41784C76"/>
    <w:rsid w:val="417F1E0C"/>
    <w:rsid w:val="41892075"/>
    <w:rsid w:val="418925DE"/>
    <w:rsid w:val="418D0F35"/>
    <w:rsid w:val="41AC0220"/>
    <w:rsid w:val="41C22FD3"/>
    <w:rsid w:val="41CA1205"/>
    <w:rsid w:val="41DE53BE"/>
    <w:rsid w:val="41EB1014"/>
    <w:rsid w:val="41F87374"/>
    <w:rsid w:val="41FC5964"/>
    <w:rsid w:val="41FD7B8F"/>
    <w:rsid w:val="42083D78"/>
    <w:rsid w:val="420D3B36"/>
    <w:rsid w:val="424111E4"/>
    <w:rsid w:val="42514C07"/>
    <w:rsid w:val="42546793"/>
    <w:rsid w:val="425915C2"/>
    <w:rsid w:val="425F26F9"/>
    <w:rsid w:val="426C2A07"/>
    <w:rsid w:val="426C4101"/>
    <w:rsid w:val="426F4D46"/>
    <w:rsid w:val="42711F21"/>
    <w:rsid w:val="42780EB9"/>
    <w:rsid w:val="427841C0"/>
    <w:rsid w:val="428C4ECD"/>
    <w:rsid w:val="42C253DA"/>
    <w:rsid w:val="42CE6902"/>
    <w:rsid w:val="42DF2E51"/>
    <w:rsid w:val="42DF4283"/>
    <w:rsid w:val="42E15AFB"/>
    <w:rsid w:val="42E33C34"/>
    <w:rsid w:val="42E63FD0"/>
    <w:rsid w:val="42F67A2D"/>
    <w:rsid w:val="42F72856"/>
    <w:rsid w:val="42FA7151"/>
    <w:rsid w:val="4309167E"/>
    <w:rsid w:val="43117814"/>
    <w:rsid w:val="43182592"/>
    <w:rsid w:val="431F6BAD"/>
    <w:rsid w:val="43353578"/>
    <w:rsid w:val="433B683E"/>
    <w:rsid w:val="433C10D7"/>
    <w:rsid w:val="435062BD"/>
    <w:rsid w:val="43925037"/>
    <w:rsid w:val="439D080F"/>
    <w:rsid w:val="43B30220"/>
    <w:rsid w:val="43C30FE6"/>
    <w:rsid w:val="43C91103"/>
    <w:rsid w:val="43D112A3"/>
    <w:rsid w:val="43E352C4"/>
    <w:rsid w:val="43F6541E"/>
    <w:rsid w:val="442925BE"/>
    <w:rsid w:val="44297047"/>
    <w:rsid w:val="44492681"/>
    <w:rsid w:val="445621F3"/>
    <w:rsid w:val="44617FDF"/>
    <w:rsid w:val="44772B71"/>
    <w:rsid w:val="44A962D0"/>
    <w:rsid w:val="44BA052D"/>
    <w:rsid w:val="44CB63A1"/>
    <w:rsid w:val="44D61306"/>
    <w:rsid w:val="45044DAC"/>
    <w:rsid w:val="45093DD2"/>
    <w:rsid w:val="450C667F"/>
    <w:rsid w:val="4518305F"/>
    <w:rsid w:val="451A2A35"/>
    <w:rsid w:val="45246069"/>
    <w:rsid w:val="45266172"/>
    <w:rsid w:val="453708A4"/>
    <w:rsid w:val="454B1456"/>
    <w:rsid w:val="454E2C2F"/>
    <w:rsid w:val="45500BC7"/>
    <w:rsid w:val="4554015F"/>
    <w:rsid w:val="45631E16"/>
    <w:rsid w:val="456C0631"/>
    <w:rsid w:val="4574254E"/>
    <w:rsid w:val="458D3C34"/>
    <w:rsid w:val="45A003DB"/>
    <w:rsid w:val="45A84134"/>
    <w:rsid w:val="45A975A8"/>
    <w:rsid w:val="45AA0E48"/>
    <w:rsid w:val="45BD22A9"/>
    <w:rsid w:val="45BF76FF"/>
    <w:rsid w:val="45CC53D5"/>
    <w:rsid w:val="45CD3551"/>
    <w:rsid w:val="45CE61A5"/>
    <w:rsid w:val="45E0142F"/>
    <w:rsid w:val="45FB7289"/>
    <w:rsid w:val="45FC3ABA"/>
    <w:rsid w:val="46015E22"/>
    <w:rsid w:val="460D19AB"/>
    <w:rsid w:val="46102A83"/>
    <w:rsid w:val="46161CFD"/>
    <w:rsid w:val="462D4A5E"/>
    <w:rsid w:val="462F2E7D"/>
    <w:rsid w:val="46517BB0"/>
    <w:rsid w:val="4657354D"/>
    <w:rsid w:val="466622CA"/>
    <w:rsid w:val="46785357"/>
    <w:rsid w:val="4692209D"/>
    <w:rsid w:val="469303BD"/>
    <w:rsid w:val="46AD7E37"/>
    <w:rsid w:val="46B0678B"/>
    <w:rsid w:val="46BC0E12"/>
    <w:rsid w:val="46C033E3"/>
    <w:rsid w:val="46C407C3"/>
    <w:rsid w:val="46CA5839"/>
    <w:rsid w:val="46CC77DD"/>
    <w:rsid w:val="46D566CF"/>
    <w:rsid w:val="46EE79CF"/>
    <w:rsid w:val="46F36FEE"/>
    <w:rsid w:val="470C56C3"/>
    <w:rsid w:val="472862B5"/>
    <w:rsid w:val="47304AC2"/>
    <w:rsid w:val="47446976"/>
    <w:rsid w:val="47531200"/>
    <w:rsid w:val="47625652"/>
    <w:rsid w:val="476464AF"/>
    <w:rsid w:val="47656D0F"/>
    <w:rsid w:val="47684A16"/>
    <w:rsid w:val="478A4446"/>
    <w:rsid w:val="479E0131"/>
    <w:rsid w:val="47A17235"/>
    <w:rsid w:val="47AB1C11"/>
    <w:rsid w:val="47BE0A4B"/>
    <w:rsid w:val="47BE2353"/>
    <w:rsid w:val="47D24D18"/>
    <w:rsid w:val="47D915B0"/>
    <w:rsid w:val="47E93B20"/>
    <w:rsid w:val="47FB6FD8"/>
    <w:rsid w:val="48010654"/>
    <w:rsid w:val="48085331"/>
    <w:rsid w:val="480901E6"/>
    <w:rsid w:val="483D4EA1"/>
    <w:rsid w:val="483F6755"/>
    <w:rsid w:val="48431073"/>
    <w:rsid w:val="4846084A"/>
    <w:rsid w:val="484B66A4"/>
    <w:rsid w:val="485159DF"/>
    <w:rsid w:val="486811DB"/>
    <w:rsid w:val="48843D2D"/>
    <w:rsid w:val="48894AE5"/>
    <w:rsid w:val="48927346"/>
    <w:rsid w:val="48AA67C9"/>
    <w:rsid w:val="48BB3EBD"/>
    <w:rsid w:val="48C21CC0"/>
    <w:rsid w:val="48D66B09"/>
    <w:rsid w:val="48D70398"/>
    <w:rsid w:val="48D82809"/>
    <w:rsid w:val="48E656F9"/>
    <w:rsid w:val="49047099"/>
    <w:rsid w:val="491F5807"/>
    <w:rsid w:val="49276847"/>
    <w:rsid w:val="493801AD"/>
    <w:rsid w:val="495D11DC"/>
    <w:rsid w:val="49601360"/>
    <w:rsid w:val="496C09F4"/>
    <w:rsid w:val="496C1D68"/>
    <w:rsid w:val="49761002"/>
    <w:rsid w:val="49771BDB"/>
    <w:rsid w:val="497D388F"/>
    <w:rsid w:val="497E2819"/>
    <w:rsid w:val="49873AAD"/>
    <w:rsid w:val="49894F0F"/>
    <w:rsid w:val="498E79FF"/>
    <w:rsid w:val="49927B74"/>
    <w:rsid w:val="499C46EF"/>
    <w:rsid w:val="499F6B86"/>
    <w:rsid w:val="49A2221B"/>
    <w:rsid w:val="49A51037"/>
    <w:rsid w:val="49AC5F6D"/>
    <w:rsid w:val="49B6745B"/>
    <w:rsid w:val="49B737F4"/>
    <w:rsid w:val="49BE4797"/>
    <w:rsid w:val="49CA5DAB"/>
    <w:rsid w:val="49CD0A95"/>
    <w:rsid w:val="49D60BCF"/>
    <w:rsid w:val="49EC2012"/>
    <w:rsid w:val="49EC667A"/>
    <w:rsid w:val="49F349A0"/>
    <w:rsid w:val="49F91052"/>
    <w:rsid w:val="49FC4D96"/>
    <w:rsid w:val="4A013AAC"/>
    <w:rsid w:val="4A0E5E07"/>
    <w:rsid w:val="4A0F5F3F"/>
    <w:rsid w:val="4A135C8E"/>
    <w:rsid w:val="4A1615AC"/>
    <w:rsid w:val="4A166E2A"/>
    <w:rsid w:val="4A1E0BE5"/>
    <w:rsid w:val="4A243EA0"/>
    <w:rsid w:val="4A270AB3"/>
    <w:rsid w:val="4A2D3634"/>
    <w:rsid w:val="4A371D65"/>
    <w:rsid w:val="4A3A1663"/>
    <w:rsid w:val="4A3C2147"/>
    <w:rsid w:val="4A4D2BEA"/>
    <w:rsid w:val="4A5A0371"/>
    <w:rsid w:val="4A5F5809"/>
    <w:rsid w:val="4A5F77BE"/>
    <w:rsid w:val="4A7D0844"/>
    <w:rsid w:val="4A844B43"/>
    <w:rsid w:val="4A9A186E"/>
    <w:rsid w:val="4AA942C0"/>
    <w:rsid w:val="4AAA0594"/>
    <w:rsid w:val="4AB87D75"/>
    <w:rsid w:val="4ABD6A57"/>
    <w:rsid w:val="4ABF4ED6"/>
    <w:rsid w:val="4AC80066"/>
    <w:rsid w:val="4ACC0A2D"/>
    <w:rsid w:val="4ACF5665"/>
    <w:rsid w:val="4AD21503"/>
    <w:rsid w:val="4ADC06C2"/>
    <w:rsid w:val="4AF36353"/>
    <w:rsid w:val="4AF6306D"/>
    <w:rsid w:val="4AF76FB3"/>
    <w:rsid w:val="4AFA210F"/>
    <w:rsid w:val="4AFF5216"/>
    <w:rsid w:val="4B0C709C"/>
    <w:rsid w:val="4B0D2957"/>
    <w:rsid w:val="4B122DF2"/>
    <w:rsid w:val="4B156192"/>
    <w:rsid w:val="4B345DDA"/>
    <w:rsid w:val="4B3463E2"/>
    <w:rsid w:val="4B362D14"/>
    <w:rsid w:val="4B3F60B5"/>
    <w:rsid w:val="4B4E737A"/>
    <w:rsid w:val="4B6579C6"/>
    <w:rsid w:val="4B6A43E9"/>
    <w:rsid w:val="4B876F83"/>
    <w:rsid w:val="4B8A7651"/>
    <w:rsid w:val="4B9737C4"/>
    <w:rsid w:val="4B9761E7"/>
    <w:rsid w:val="4BA07D84"/>
    <w:rsid w:val="4BA24241"/>
    <w:rsid w:val="4BA54C3B"/>
    <w:rsid w:val="4BA65955"/>
    <w:rsid w:val="4BB44FDE"/>
    <w:rsid w:val="4BBD6E4A"/>
    <w:rsid w:val="4BC3292E"/>
    <w:rsid w:val="4BC82330"/>
    <w:rsid w:val="4BCA2FF2"/>
    <w:rsid w:val="4BE17B2F"/>
    <w:rsid w:val="4BE51CD4"/>
    <w:rsid w:val="4BEC24BD"/>
    <w:rsid w:val="4BEF7DD1"/>
    <w:rsid w:val="4C1C42FE"/>
    <w:rsid w:val="4C1F2C99"/>
    <w:rsid w:val="4C20541E"/>
    <w:rsid w:val="4C32638B"/>
    <w:rsid w:val="4C353C2B"/>
    <w:rsid w:val="4C382BCA"/>
    <w:rsid w:val="4C3C5CD5"/>
    <w:rsid w:val="4C50700A"/>
    <w:rsid w:val="4C557646"/>
    <w:rsid w:val="4C5D5737"/>
    <w:rsid w:val="4C695910"/>
    <w:rsid w:val="4C6B1602"/>
    <w:rsid w:val="4C7F1B93"/>
    <w:rsid w:val="4C7F3D3A"/>
    <w:rsid w:val="4C7F5AAD"/>
    <w:rsid w:val="4C8A6B5E"/>
    <w:rsid w:val="4C8C0468"/>
    <w:rsid w:val="4C9C2A10"/>
    <w:rsid w:val="4CA62A89"/>
    <w:rsid w:val="4CA71ACF"/>
    <w:rsid w:val="4CA74B4B"/>
    <w:rsid w:val="4CAA52C8"/>
    <w:rsid w:val="4CAB1B07"/>
    <w:rsid w:val="4CB33376"/>
    <w:rsid w:val="4CC60D9A"/>
    <w:rsid w:val="4CC64526"/>
    <w:rsid w:val="4CC66DB1"/>
    <w:rsid w:val="4CEB342E"/>
    <w:rsid w:val="4CEB788F"/>
    <w:rsid w:val="4CFD21C2"/>
    <w:rsid w:val="4D033DD2"/>
    <w:rsid w:val="4D0C7377"/>
    <w:rsid w:val="4D0D1198"/>
    <w:rsid w:val="4D134210"/>
    <w:rsid w:val="4D1D6D38"/>
    <w:rsid w:val="4D1F18DB"/>
    <w:rsid w:val="4D255E6E"/>
    <w:rsid w:val="4D3324BF"/>
    <w:rsid w:val="4D385F65"/>
    <w:rsid w:val="4D41355D"/>
    <w:rsid w:val="4D466F76"/>
    <w:rsid w:val="4D566357"/>
    <w:rsid w:val="4D6359E9"/>
    <w:rsid w:val="4D65489A"/>
    <w:rsid w:val="4D70270B"/>
    <w:rsid w:val="4D8D45A8"/>
    <w:rsid w:val="4D95773E"/>
    <w:rsid w:val="4D9D3BE3"/>
    <w:rsid w:val="4DAD6B9E"/>
    <w:rsid w:val="4DB754D6"/>
    <w:rsid w:val="4DB75578"/>
    <w:rsid w:val="4DCD4CEC"/>
    <w:rsid w:val="4DCF697C"/>
    <w:rsid w:val="4DE37233"/>
    <w:rsid w:val="4DF35D1D"/>
    <w:rsid w:val="4DFF4329"/>
    <w:rsid w:val="4E006EA4"/>
    <w:rsid w:val="4E016B7F"/>
    <w:rsid w:val="4E02139F"/>
    <w:rsid w:val="4E0E057F"/>
    <w:rsid w:val="4E174210"/>
    <w:rsid w:val="4E193F8E"/>
    <w:rsid w:val="4E236F8F"/>
    <w:rsid w:val="4E2D6060"/>
    <w:rsid w:val="4E4272B7"/>
    <w:rsid w:val="4E570A02"/>
    <w:rsid w:val="4E7E4D55"/>
    <w:rsid w:val="4E863DC7"/>
    <w:rsid w:val="4E8735C9"/>
    <w:rsid w:val="4E8F7574"/>
    <w:rsid w:val="4E957709"/>
    <w:rsid w:val="4E9911DA"/>
    <w:rsid w:val="4E9A5B02"/>
    <w:rsid w:val="4EA0731C"/>
    <w:rsid w:val="4EBA511D"/>
    <w:rsid w:val="4EBD6B1E"/>
    <w:rsid w:val="4EC90F32"/>
    <w:rsid w:val="4ED92493"/>
    <w:rsid w:val="4EF325DD"/>
    <w:rsid w:val="4F074CDC"/>
    <w:rsid w:val="4F0B4222"/>
    <w:rsid w:val="4F154AFE"/>
    <w:rsid w:val="4F163AF7"/>
    <w:rsid w:val="4F190F35"/>
    <w:rsid w:val="4F1C24CD"/>
    <w:rsid w:val="4F22481E"/>
    <w:rsid w:val="4F243D07"/>
    <w:rsid w:val="4F2B0250"/>
    <w:rsid w:val="4F364D28"/>
    <w:rsid w:val="4F426DD2"/>
    <w:rsid w:val="4F4D7699"/>
    <w:rsid w:val="4F587237"/>
    <w:rsid w:val="4F717938"/>
    <w:rsid w:val="4F7A6220"/>
    <w:rsid w:val="4F7D6903"/>
    <w:rsid w:val="4F83245E"/>
    <w:rsid w:val="4F862F82"/>
    <w:rsid w:val="4F8E574C"/>
    <w:rsid w:val="4FA06482"/>
    <w:rsid w:val="4FA162CD"/>
    <w:rsid w:val="4FB03A32"/>
    <w:rsid w:val="4FB507E3"/>
    <w:rsid w:val="4FB67403"/>
    <w:rsid w:val="4FBD2AE4"/>
    <w:rsid w:val="4FBE3D67"/>
    <w:rsid w:val="4FDE7696"/>
    <w:rsid w:val="4FE20811"/>
    <w:rsid w:val="4FF634D2"/>
    <w:rsid w:val="4FFC7F4A"/>
    <w:rsid w:val="4FFE679B"/>
    <w:rsid w:val="500B056C"/>
    <w:rsid w:val="500B728F"/>
    <w:rsid w:val="5012120C"/>
    <w:rsid w:val="502643C9"/>
    <w:rsid w:val="502B03E8"/>
    <w:rsid w:val="503209E1"/>
    <w:rsid w:val="50377396"/>
    <w:rsid w:val="504221EF"/>
    <w:rsid w:val="50450391"/>
    <w:rsid w:val="504C67E2"/>
    <w:rsid w:val="504D5F13"/>
    <w:rsid w:val="50554889"/>
    <w:rsid w:val="5059105F"/>
    <w:rsid w:val="50595916"/>
    <w:rsid w:val="507F6926"/>
    <w:rsid w:val="50853610"/>
    <w:rsid w:val="508D7586"/>
    <w:rsid w:val="508E6FD1"/>
    <w:rsid w:val="50986AD1"/>
    <w:rsid w:val="50B13BEA"/>
    <w:rsid w:val="50BB56C5"/>
    <w:rsid w:val="50BE6B61"/>
    <w:rsid w:val="50C76D07"/>
    <w:rsid w:val="50CC2A9B"/>
    <w:rsid w:val="50CE2885"/>
    <w:rsid w:val="50E34DC8"/>
    <w:rsid w:val="50E9078D"/>
    <w:rsid w:val="50FA755D"/>
    <w:rsid w:val="50FE437C"/>
    <w:rsid w:val="511C5EE5"/>
    <w:rsid w:val="51220805"/>
    <w:rsid w:val="51242141"/>
    <w:rsid w:val="512F6068"/>
    <w:rsid w:val="51316E81"/>
    <w:rsid w:val="513B5E3C"/>
    <w:rsid w:val="513F6B2A"/>
    <w:rsid w:val="51494357"/>
    <w:rsid w:val="514A14A6"/>
    <w:rsid w:val="514C1D1E"/>
    <w:rsid w:val="51542C1B"/>
    <w:rsid w:val="5156017D"/>
    <w:rsid w:val="516A62FB"/>
    <w:rsid w:val="51885F92"/>
    <w:rsid w:val="51955206"/>
    <w:rsid w:val="51A4430F"/>
    <w:rsid w:val="51A77313"/>
    <w:rsid w:val="51AA0C34"/>
    <w:rsid w:val="51BC353C"/>
    <w:rsid w:val="51C4498D"/>
    <w:rsid w:val="51D55A05"/>
    <w:rsid w:val="51D90F64"/>
    <w:rsid w:val="51DC2FA6"/>
    <w:rsid w:val="51E80B7F"/>
    <w:rsid w:val="51F418D9"/>
    <w:rsid w:val="51F444F4"/>
    <w:rsid w:val="51F967C3"/>
    <w:rsid w:val="51FB4FAD"/>
    <w:rsid w:val="521320B1"/>
    <w:rsid w:val="521D7198"/>
    <w:rsid w:val="523304CB"/>
    <w:rsid w:val="52361F53"/>
    <w:rsid w:val="524869A7"/>
    <w:rsid w:val="52883645"/>
    <w:rsid w:val="52A3533B"/>
    <w:rsid w:val="52A6451C"/>
    <w:rsid w:val="52A837AD"/>
    <w:rsid w:val="52AC1DB3"/>
    <w:rsid w:val="52B52834"/>
    <w:rsid w:val="52B87B14"/>
    <w:rsid w:val="52BD2343"/>
    <w:rsid w:val="52CA65CD"/>
    <w:rsid w:val="52DF3BBB"/>
    <w:rsid w:val="52E24656"/>
    <w:rsid w:val="52EC0514"/>
    <w:rsid w:val="530D1AE0"/>
    <w:rsid w:val="531D5555"/>
    <w:rsid w:val="53263630"/>
    <w:rsid w:val="532840F5"/>
    <w:rsid w:val="532B3396"/>
    <w:rsid w:val="533C4D56"/>
    <w:rsid w:val="534E7E85"/>
    <w:rsid w:val="53597702"/>
    <w:rsid w:val="535A4466"/>
    <w:rsid w:val="535D04CC"/>
    <w:rsid w:val="536D7584"/>
    <w:rsid w:val="53AB5DA1"/>
    <w:rsid w:val="53AE00D8"/>
    <w:rsid w:val="53B013CB"/>
    <w:rsid w:val="53B669E2"/>
    <w:rsid w:val="53C24BE7"/>
    <w:rsid w:val="53C6141A"/>
    <w:rsid w:val="53C93484"/>
    <w:rsid w:val="53D86F7E"/>
    <w:rsid w:val="53E9703C"/>
    <w:rsid w:val="53F822F4"/>
    <w:rsid w:val="53FB6D67"/>
    <w:rsid w:val="53FE410A"/>
    <w:rsid w:val="54010AD9"/>
    <w:rsid w:val="540C1898"/>
    <w:rsid w:val="540E7BD0"/>
    <w:rsid w:val="54146A01"/>
    <w:rsid w:val="54153440"/>
    <w:rsid w:val="54193FC2"/>
    <w:rsid w:val="5420269A"/>
    <w:rsid w:val="54220764"/>
    <w:rsid w:val="54231E81"/>
    <w:rsid w:val="543534AD"/>
    <w:rsid w:val="54374CB3"/>
    <w:rsid w:val="54377B56"/>
    <w:rsid w:val="54467ECF"/>
    <w:rsid w:val="5448459B"/>
    <w:rsid w:val="544A5F01"/>
    <w:rsid w:val="54661B6A"/>
    <w:rsid w:val="5466394B"/>
    <w:rsid w:val="546A6479"/>
    <w:rsid w:val="546B77EE"/>
    <w:rsid w:val="547359D5"/>
    <w:rsid w:val="54736124"/>
    <w:rsid w:val="547515FE"/>
    <w:rsid w:val="547C7C0B"/>
    <w:rsid w:val="54825166"/>
    <w:rsid w:val="548E5575"/>
    <w:rsid w:val="54902073"/>
    <w:rsid w:val="54946CE2"/>
    <w:rsid w:val="54972CBE"/>
    <w:rsid w:val="549A7CD1"/>
    <w:rsid w:val="54A8034F"/>
    <w:rsid w:val="54BF66BE"/>
    <w:rsid w:val="54CD6D15"/>
    <w:rsid w:val="54D14819"/>
    <w:rsid w:val="54E5756C"/>
    <w:rsid w:val="54E81D7A"/>
    <w:rsid w:val="54E913D5"/>
    <w:rsid w:val="54EC3B7D"/>
    <w:rsid w:val="54F671EE"/>
    <w:rsid w:val="54F96A0A"/>
    <w:rsid w:val="55400F54"/>
    <w:rsid w:val="554768B8"/>
    <w:rsid w:val="55537FF8"/>
    <w:rsid w:val="55594981"/>
    <w:rsid w:val="5565501F"/>
    <w:rsid w:val="55694316"/>
    <w:rsid w:val="556A101C"/>
    <w:rsid w:val="557239AB"/>
    <w:rsid w:val="558B4C29"/>
    <w:rsid w:val="5595007A"/>
    <w:rsid w:val="559A017F"/>
    <w:rsid w:val="559C03BD"/>
    <w:rsid w:val="55AF45B3"/>
    <w:rsid w:val="55AF6307"/>
    <w:rsid w:val="55B176B3"/>
    <w:rsid w:val="55BF2605"/>
    <w:rsid w:val="55CC0974"/>
    <w:rsid w:val="55F0410E"/>
    <w:rsid w:val="55F61AE3"/>
    <w:rsid w:val="561B788A"/>
    <w:rsid w:val="561D3F94"/>
    <w:rsid w:val="561F3090"/>
    <w:rsid w:val="56235441"/>
    <w:rsid w:val="562B2F8C"/>
    <w:rsid w:val="56300FED"/>
    <w:rsid w:val="56334FEB"/>
    <w:rsid w:val="563A4843"/>
    <w:rsid w:val="56500CC4"/>
    <w:rsid w:val="56517935"/>
    <w:rsid w:val="56542E4C"/>
    <w:rsid w:val="56591BAC"/>
    <w:rsid w:val="56A153A6"/>
    <w:rsid w:val="56A661AD"/>
    <w:rsid w:val="56AF4EBB"/>
    <w:rsid w:val="56B46A59"/>
    <w:rsid w:val="56B55B61"/>
    <w:rsid w:val="56B55F29"/>
    <w:rsid w:val="56C15BA1"/>
    <w:rsid w:val="56CF2954"/>
    <w:rsid w:val="56D70E2C"/>
    <w:rsid w:val="56DA5C99"/>
    <w:rsid w:val="56DB0D3C"/>
    <w:rsid w:val="56DB6F7D"/>
    <w:rsid w:val="56F05680"/>
    <w:rsid w:val="56F677D3"/>
    <w:rsid w:val="56FA237F"/>
    <w:rsid w:val="570D6655"/>
    <w:rsid w:val="57127C03"/>
    <w:rsid w:val="571A1951"/>
    <w:rsid w:val="57280A9C"/>
    <w:rsid w:val="57283B16"/>
    <w:rsid w:val="57284402"/>
    <w:rsid w:val="57294E37"/>
    <w:rsid w:val="57321994"/>
    <w:rsid w:val="57382BA6"/>
    <w:rsid w:val="573D2B80"/>
    <w:rsid w:val="57441AD7"/>
    <w:rsid w:val="574800AC"/>
    <w:rsid w:val="5757371F"/>
    <w:rsid w:val="575A601D"/>
    <w:rsid w:val="575E0841"/>
    <w:rsid w:val="576F1665"/>
    <w:rsid w:val="577E2FF4"/>
    <w:rsid w:val="578256CE"/>
    <w:rsid w:val="57976333"/>
    <w:rsid w:val="57A74F30"/>
    <w:rsid w:val="57C048D5"/>
    <w:rsid w:val="57DB44E3"/>
    <w:rsid w:val="57DF3574"/>
    <w:rsid w:val="57E83B29"/>
    <w:rsid w:val="581278B9"/>
    <w:rsid w:val="58150E30"/>
    <w:rsid w:val="58337EC0"/>
    <w:rsid w:val="5834611A"/>
    <w:rsid w:val="584A62D2"/>
    <w:rsid w:val="585D65EA"/>
    <w:rsid w:val="58701D9E"/>
    <w:rsid w:val="58711BE6"/>
    <w:rsid w:val="58762CE2"/>
    <w:rsid w:val="587D0001"/>
    <w:rsid w:val="587E4024"/>
    <w:rsid w:val="588D3AB1"/>
    <w:rsid w:val="589F572F"/>
    <w:rsid w:val="58A84B26"/>
    <w:rsid w:val="58C8277D"/>
    <w:rsid w:val="58C82DAD"/>
    <w:rsid w:val="58C85A0D"/>
    <w:rsid w:val="58CE5702"/>
    <w:rsid w:val="58D157B1"/>
    <w:rsid w:val="58D843A9"/>
    <w:rsid w:val="590075C1"/>
    <w:rsid w:val="59033772"/>
    <w:rsid w:val="590B5674"/>
    <w:rsid w:val="591C7755"/>
    <w:rsid w:val="592A74A2"/>
    <w:rsid w:val="593C5D08"/>
    <w:rsid w:val="593F1731"/>
    <w:rsid w:val="594016ED"/>
    <w:rsid w:val="594459D9"/>
    <w:rsid w:val="594B0204"/>
    <w:rsid w:val="59574A38"/>
    <w:rsid w:val="595F2742"/>
    <w:rsid w:val="596B2AA2"/>
    <w:rsid w:val="59891649"/>
    <w:rsid w:val="598B6F54"/>
    <w:rsid w:val="59912F5C"/>
    <w:rsid w:val="59972F9E"/>
    <w:rsid w:val="59987958"/>
    <w:rsid w:val="59BA3F87"/>
    <w:rsid w:val="59C07877"/>
    <w:rsid w:val="59DA1AB8"/>
    <w:rsid w:val="59DA3FF4"/>
    <w:rsid w:val="59E212EC"/>
    <w:rsid w:val="59E4177E"/>
    <w:rsid w:val="59EF1EBB"/>
    <w:rsid w:val="59F17B21"/>
    <w:rsid w:val="5A083F0C"/>
    <w:rsid w:val="5A3352D4"/>
    <w:rsid w:val="5A3D0929"/>
    <w:rsid w:val="5A41067A"/>
    <w:rsid w:val="5A554F67"/>
    <w:rsid w:val="5A5645CA"/>
    <w:rsid w:val="5A625ADE"/>
    <w:rsid w:val="5A6F30DF"/>
    <w:rsid w:val="5A7E30A6"/>
    <w:rsid w:val="5A8F25B7"/>
    <w:rsid w:val="5A931C92"/>
    <w:rsid w:val="5A9A0D0F"/>
    <w:rsid w:val="5AAC644A"/>
    <w:rsid w:val="5AB31B12"/>
    <w:rsid w:val="5AB712E1"/>
    <w:rsid w:val="5ABF66BE"/>
    <w:rsid w:val="5AC06B0D"/>
    <w:rsid w:val="5AC710AD"/>
    <w:rsid w:val="5ACE314E"/>
    <w:rsid w:val="5AE27817"/>
    <w:rsid w:val="5AF6350C"/>
    <w:rsid w:val="5B0E31F2"/>
    <w:rsid w:val="5B0F34E1"/>
    <w:rsid w:val="5B1A30BF"/>
    <w:rsid w:val="5B2C4674"/>
    <w:rsid w:val="5B367A2C"/>
    <w:rsid w:val="5B477306"/>
    <w:rsid w:val="5B523543"/>
    <w:rsid w:val="5B5A67E0"/>
    <w:rsid w:val="5B5B0F28"/>
    <w:rsid w:val="5B5F72F5"/>
    <w:rsid w:val="5B643450"/>
    <w:rsid w:val="5B727A8A"/>
    <w:rsid w:val="5B7B652D"/>
    <w:rsid w:val="5B82664C"/>
    <w:rsid w:val="5B872456"/>
    <w:rsid w:val="5B891952"/>
    <w:rsid w:val="5B9039FD"/>
    <w:rsid w:val="5B971D9B"/>
    <w:rsid w:val="5BA279C3"/>
    <w:rsid w:val="5BAA29D0"/>
    <w:rsid w:val="5BCE2698"/>
    <w:rsid w:val="5BD77FB7"/>
    <w:rsid w:val="5BDA6D8C"/>
    <w:rsid w:val="5BDEC9BF"/>
    <w:rsid w:val="5BDF0228"/>
    <w:rsid w:val="5BE9182D"/>
    <w:rsid w:val="5BEC085A"/>
    <w:rsid w:val="5BED7C73"/>
    <w:rsid w:val="5C00421F"/>
    <w:rsid w:val="5C077FAA"/>
    <w:rsid w:val="5C1109B6"/>
    <w:rsid w:val="5C2A0E30"/>
    <w:rsid w:val="5C315B10"/>
    <w:rsid w:val="5C32109B"/>
    <w:rsid w:val="5C364436"/>
    <w:rsid w:val="5C3739B6"/>
    <w:rsid w:val="5C373DB2"/>
    <w:rsid w:val="5C4010A6"/>
    <w:rsid w:val="5C4C55D7"/>
    <w:rsid w:val="5C545B6C"/>
    <w:rsid w:val="5C563AFA"/>
    <w:rsid w:val="5C5D2694"/>
    <w:rsid w:val="5C6E7617"/>
    <w:rsid w:val="5C7915B1"/>
    <w:rsid w:val="5C793AB1"/>
    <w:rsid w:val="5C8B5F5F"/>
    <w:rsid w:val="5C906DFD"/>
    <w:rsid w:val="5C923F16"/>
    <w:rsid w:val="5C925782"/>
    <w:rsid w:val="5CAA3569"/>
    <w:rsid w:val="5CB91E21"/>
    <w:rsid w:val="5CBF78C8"/>
    <w:rsid w:val="5CCF2727"/>
    <w:rsid w:val="5CDE0B17"/>
    <w:rsid w:val="5CE43DBD"/>
    <w:rsid w:val="5CEA0EAF"/>
    <w:rsid w:val="5CEB10E5"/>
    <w:rsid w:val="5D085E52"/>
    <w:rsid w:val="5D0A6051"/>
    <w:rsid w:val="5D133925"/>
    <w:rsid w:val="5D15725B"/>
    <w:rsid w:val="5D195629"/>
    <w:rsid w:val="5D1D3D49"/>
    <w:rsid w:val="5D2C109B"/>
    <w:rsid w:val="5D4E6EFF"/>
    <w:rsid w:val="5D580B65"/>
    <w:rsid w:val="5D580D0C"/>
    <w:rsid w:val="5D5F22CC"/>
    <w:rsid w:val="5D655B3B"/>
    <w:rsid w:val="5D68112E"/>
    <w:rsid w:val="5D693E35"/>
    <w:rsid w:val="5D760EA7"/>
    <w:rsid w:val="5D882DAA"/>
    <w:rsid w:val="5D8B78CA"/>
    <w:rsid w:val="5D93732E"/>
    <w:rsid w:val="5D956ECF"/>
    <w:rsid w:val="5D993414"/>
    <w:rsid w:val="5D9F6029"/>
    <w:rsid w:val="5DA41211"/>
    <w:rsid w:val="5DAD0769"/>
    <w:rsid w:val="5DAD73F0"/>
    <w:rsid w:val="5DDD04F6"/>
    <w:rsid w:val="5DE379EA"/>
    <w:rsid w:val="5DF3610C"/>
    <w:rsid w:val="5DF83619"/>
    <w:rsid w:val="5DFE36B4"/>
    <w:rsid w:val="5E0600C1"/>
    <w:rsid w:val="5E11054E"/>
    <w:rsid w:val="5E156060"/>
    <w:rsid w:val="5E1746BD"/>
    <w:rsid w:val="5E1A79AF"/>
    <w:rsid w:val="5E1D1C0B"/>
    <w:rsid w:val="5E1F6A71"/>
    <w:rsid w:val="5E3621FC"/>
    <w:rsid w:val="5E4017CE"/>
    <w:rsid w:val="5E450374"/>
    <w:rsid w:val="5E6F3A91"/>
    <w:rsid w:val="5E716E56"/>
    <w:rsid w:val="5E780A00"/>
    <w:rsid w:val="5E781FA9"/>
    <w:rsid w:val="5E7E289E"/>
    <w:rsid w:val="5E7F7895"/>
    <w:rsid w:val="5E9B31A6"/>
    <w:rsid w:val="5E9C4BF7"/>
    <w:rsid w:val="5EA1245D"/>
    <w:rsid w:val="5EBB3983"/>
    <w:rsid w:val="5ECD0D75"/>
    <w:rsid w:val="5EE251E0"/>
    <w:rsid w:val="5EE318D3"/>
    <w:rsid w:val="5EE60804"/>
    <w:rsid w:val="5EF341EF"/>
    <w:rsid w:val="5EF938C7"/>
    <w:rsid w:val="5F043743"/>
    <w:rsid w:val="5F057D65"/>
    <w:rsid w:val="5F081487"/>
    <w:rsid w:val="5F0F5F60"/>
    <w:rsid w:val="5F1E206A"/>
    <w:rsid w:val="5F210167"/>
    <w:rsid w:val="5F26472F"/>
    <w:rsid w:val="5F34492E"/>
    <w:rsid w:val="5F3C2157"/>
    <w:rsid w:val="5F3C62ED"/>
    <w:rsid w:val="5F3D7E78"/>
    <w:rsid w:val="5F5045A6"/>
    <w:rsid w:val="5F534B7B"/>
    <w:rsid w:val="5F6F816C"/>
    <w:rsid w:val="5F7749C4"/>
    <w:rsid w:val="5F776490"/>
    <w:rsid w:val="5F7A0121"/>
    <w:rsid w:val="5F8B7650"/>
    <w:rsid w:val="5F9128B6"/>
    <w:rsid w:val="5F915E36"/>
    <w:rsid w:val="5F9264A5"/>
    <w:rsid w:val="5F97560A"/>
    <w:rsid w:val="5FA74126"/>
    <w:rsid w:val="5FB621BF"/>
    <w:rsid w:val="5FBE076D"/>
    <w:rsid w:val="5FCEC078"/>
    <w:rsid w:val="5FD35126"/>
    <w:rsid w:val="5FF2231C"/>
    <w:rsid w:val="5FF5275B"/>
    <w:rsid w:val="5FF63D3C"/>
    <w:rsid w:val="600263D3"/>
    <w:rsid w:val="600E7F57"/>
    <w:rsid w:val="60112443"/>
    <w:rsid w:val="60176700"/>
    <w:rsid w:val="6025124B"/>
    <w:rsid w:val="602B1F64"/>
    <w:rsid w:val="602C0B1A"/>
    <w:rsid w:val="604B0FC1"/>
    <w:rsid w:val="604D4C1F"/>
    <w:rsid w:val="604D4C8A"/>
    <w:rsid w:val="605158CA"/>
    <w:rsid w:val="606326E4"/>
    <w:rsid w:val="6070496D"/>
    <w:rsid w:val="607C1696"/>
    <w:rsid w:val="60802A3F"/>
    <w:rsid w:val="60836E32"/>
    <w:rsid w:val="60904D45"/>
    <w:rsid w:val="609C5BA4"/>
    <w:rsid w:val="60A41DEE"/>
    <w:rsid w:val="60AE0570"/>
    <w:rsid w:val="60B371C8"/>
    <w:rsid w:val="60B473EF"/>
    <w:rsid w:val="60C27605"/>
    <w:rsid w:val="60C34A7C"/>
    <w:rsid w:val="60C755DF"/>
    <w:rsid w:val="60C85A54"/>
    <w:rsid w:val="60D468E6"/>
    <w:rsid w:val="60D80EC8"/>
    <w:rsid w:val="60E374A0"/>
    <w:rsid w:val="60EA2799"/>
    <w:rsid w:val="610F165D"/>
    <w:rsid w:val="61187773"/>
    <w:rsid w:val="61275D72"/>
    <w:rsid w:val="61324D83"/>
    <w:rsid w:val="6144383D"/>
    <w:rsid w:val="61444580"/>
    <w:rsid w:val="614538D6"/>
    <w:rsid w:val="614D3362"/>
    <w:rsid w:val="614F54B5"/>
    <w:rsid w:val="615E34A6"/>
    <w:rsid w:val="615E4915"/>
    <w:rsid w:val="61612A62"/>
    <w:rsid w:val="61722F6F"/>
    <w:rsid w:val="618E2F84"/>
    <w:rsid w:val="6196695B"/>
    <w:rsid w:val="619856BD"/>
    <w:rsid w:val="619B2313"/>
    <w:rsid w:val="619C09BF"/>
    <w:rsid w:val="61A406B0"/>
    <w:rsid w:val="61AE263F"/>
    <w:rsid w:val="61B023C3"/>
    <w:rsid w:val="61B4152C"/>
    <w:rsid w:val="61B706DC"/>
    <w:rsid w:val="61BB0ADA"/>
    <w:rsid w:val="61BC1293"/>
    <w:rsid w:val="61C13315"/>
    <w:rsid w:val="61C22BEF"/>
    <w:rsid w:val="61D029B2"/>
    <w:rsid w:val="61D33C82"/>
    <w:rsid w:val="61DD6B30"/>
    <w:rsid w:val="61F14458"/>
    <w:rsid w:val="61F3598B"/>
    <w:rsid w:val="61F45323"/>
    <w:rsid w:val="61F55FE7"/>
    <w:rsid w:val="61F851B6"/>
    <w:rsid w:val="61FE3BEB"/>
    <w:rsid w:val="62167284"/>
    <w:rsid w:val="621D3AB9"/>
    <w:rsid w:val="622410F8"/>
    <w:rsid w:val="62292544"/>
    <w:rsid w:val="62325F0D"/>
    <w:rsid w:val="623A0C58"/>
    <w:rsid w:val="624951DE"/>
    <w:rsid w:val="62505F90"/>
    <w:rsid w:val="62572987"/>
    <w:rsid w:val="625D5FE0"/>
    <w:rsid w:val="626116C2"/>
    <w:rsid w:val="626B7171"/>
    <w:rsid w:val="626F13A2"/>
    <w:rsid w:val="627D55DD"/>
    <w:rsid w:val="62954C77"/>
    <w:rsid w:val="62CB2A91"/>
    <w:rsid w:val="62CD7D1D"/>
    <w:rsid w:val="62E622F3"/>
    <w:rsid w:val="62E62C9C"/>
    <w:rsid w:val="62EB78F1"/>
    <w:rsid w:val="62F24A2D"/>
    <w:rsid w:val="630C7256"/>
    <w:rsid w:val="631220A4"/>
    <w:rsid w:val="6314670E"/>
    <w:rsid w:val="63233AF5"/>
    <w:rsid w:val="632A32D1"/>
    <w:rsid w:val="632F2B67"/>
    <w:rsid w:val="633F3133"/>
    <w:rsid w:val="63466DC5"/>
    <w:rsid w:val="634D4C1C"/>
    <w:rsid w:val="63623A67"/>
    <w:rsid w:val="636C014B"/>
    <w:rsid w:val="636D7A44"/>
    <w:rsid w:val="63720B35"/>
    <w:rsid w:val="6376272F"/>
    <w:rsid w:val="63A2552F"/>
    <w:rsid w:val="63AA4C9F"/>
    <w:rsid w:val="63B30404"/>
    <w:rsid w:val="63BA2BD9"/>
    <w:rsid w:val="63CF0538"/>
    <w:rsid w:val="63D57C8C"/>
    <w:rsid w:val="63E72182"/>
    <w:rsid w:val="63E90419"/>
    <w:rsid w:val="63EC4181"/>
    <w:rsid w:val="63EC77C1"/>
    <w:rsid w:val="640119FC"/>
    <w:rsid w:val="640D02F7"/>
    <w:rsid w:val="641C113D"/>
    <w:rsid w:val="64233FF1"/>
    <w:rsid w:val="64262F66"/>
    <w:rsid w:val="642C4E19"/>
    <w:rsid w:val="64341424"/>
    <w:rsid w:val="64341BFC"/>
    <w:rsid w:val="64365A0F"/>
    <w:rsid w:val="643B11E9"/>
    <w:rsid w:val="644A64EA"/>
    <w:rsid w:val="645401A5"/>
    <w:rsid w:val="64581BAA"/>
    <w:rsid w:val="645D3AD3"/>
    <w:rsid w:val="646703DC"/>
    <w:rsid w:val="64753D13"/>
    <w:rsid w:val="647D02CC"/>
    <w:rsid w:val="647D227C"/>
    <w:rsid w:val="648C6482"/>
    <w:rsid w:val="649F0EF4"/>
    <w:rsid w:val="64A82106"/>
    <w:rsid w:val="64B626D1"/>
    <w:rsid w:val="64BC12AF"/>
    <w:rsid w:val="64BF0DD1"/>
    <w:rsid w:val="64C222C6"/>
    <w:rsid w:val="64CF2EA6"/>
    <w:rsid w:val="64D47240"/>
    <w:rsid w:val="64E149B2"/>
    <w:rsid w:val="64E16BBA"/>
    <w:rsid w:val="64E607A7"/>
    <w:rsid w:val="64E720A5"/>
    <w:rsid w:val="651E3F5C"/>
    <w:rsid w:val="651F06E1"/>
    <w:rsid w:val="652A5D06"/>
    <w:rsid w:val="653E298F"/>
    <w:rsid w:val="65410C52"/>
    <w:rsid w:val="65446AE5"/>
    <w:rsid w:val="65472D72"/>
    <w:rsid w:val="654848A4"/>
    <w:rsid w:val="6556324A"/>
    <w:rsid w:val="65587651"/>
    <w:rsid w:val="655D3C80"/>
    <w:rsid w:val="656D55A3"/>
    <w:rsid w:val="657156F4"/>
    <w:rsid w:val="657F18FF"/>
    <w:rsid w:val="65A81230"/>
    <w:rsid w:val="65AC5A45"/>
    <w:rsid w:val="65B40934"/>
    <w:rsid w:val="65B70DF4"/>
    <w:rsid w:val="65C86711"/>
    <w:rsid w:val="65CA4F0E"/>
    <w:rsid w:val="65CC2AEF"/>
    <w:rsid w:val="65D136DF"/>
    <w:rsid w:val="65D2357F"/>
    <w:rsid w:val="65D9760E"/>
    <w:rsid w:val="65DC6F46"/>
    <w:rsid w:val="65EC11EE"/>
    <w:rsid w:val="65F14088"/>
    <w:rsid w:val="660642AC"/>
    <w:rsid w:val="660C4465"/>
    <w:rsid w:val="661056B4"/>
    <w:rsid w:val="66151DE8"/>
    <w:rsid w:val="662F1C57"/>
    <w:rsid w:val="66485040"/>
    <w:rsid w:val="664B30DF"/>
    <w:rsid w:val="665301C4"/>
    <w:rsid w:val="665840D7"/>
    <w:rsid w:val="66606A07"/>
    <w:rsid w:val="6665243F"/>
    <w:rsid w:val="667A1396"/>
    <w:rsid w:val="667B5A76"/>
    <w:rsid w:val="667C2652"/>
    <w:rsid w:val="66887242"/>
    <w:rsid w:val="66896CE9"/>
    <w:rsid w:val="66A87574"/>
    <w:rsid w:val="66AD50DB"/>
    <w:rsid w:val="66B51C36"/>
    <w:rsid w:val="66B96A97"/>
    <w:rsid w:val="66C4463E"/>
    <w:rsid w:val="66CA6B3B"/>
    <w:rsid w:val="66D527A1"/>
    <w:rsid w:val="66D8087A"/>
    <w:rsid w:val="66D93D9B"/>
    <w:rsid w:val="66DC6450"/>
    <w:rsid w:val="66E14941"/>
    <w:rsid w:val="6706618C"/>
    <w:rsid w:val="670D7FD3"/>
    <w:rsid w:val="67102DEB"/>
    <w:rsid w:val="671D07B6"/>
    <w:rsid w:val="67220223"/>
    <w:rsid w:val="67277DF1"/>
    <w:rsid w:val="673A35F4"/>
    <w:rsid w:val="673C3673"/>
    <w:rsid w:val="6742508D"/>
    <w:rsid w:val="674B36D0"/>
    <w:rsid w:val="6753053B"/>
    <w:rsid w:val="67567BF3"/>
    <w:rsid w:val="6759E407"/>
    <w:rsid w:val="67723FB9"/>
    <w:rsid w:val="6776727D"/>
    <w:rsid w:val="677F7E04"/>
    <w:rsid w:val="678A3A1E"/>
    <w:rsid w:val="679546C4"/>
    <w:rsid w:val="679B6B77"/>
    <w:rsid w:val="67C56388"/>
    <w:rsid w:val="67C87408"/>
    <w:rsid w:val="67D17830"/>
    <w:rsid w:val="67D572FD"/>
    <w:rsid w:val="67E1241C"/>
    <w:rsid w:val="67E2605D"/>
    <w:rsid w:val="67E409DB"/>
    <w:rsid w:val="67ED605A"/>
    <w:rsid w:val="67EF609E"/>
    <w:rsid w:val="67F4599E"/>
    <w:rsid w:val="67FA00A7"/>
    <w:rsid w:val="68005828"/>
    <w:rsid w:val="68043E88"/>
    <w:rsid w:val="680B5665"/>
    <w:rsid w:val="681A4473"/>
    <w:rsid w:val="681E7DF8"/>
    <w:rsid w:val="683A4F93"/>
    <w:rsid w:val="683C57A4"/>
    <w:rsid w:val="68466A06"/>
    <w:rsid w:val="684E5997"/>
    <w:rsid w:val="685E6FB6"/>
    <w:rsid w:val="68672707"/>
    <w:rsid w:val="6869713C"/>
    <w:rsid w:val="686D29AA"/>
    <w:rsid w:val="68896CBE"/>
    <w:rsid w:val="68AB14BA"/>
    <w:rsid w:val="68AE1738"/>
    <w:rsid w:val="68B3090D"/>
    <w:rsid w:val="68BC0174"/>
    <w:rsid w:val="68CF13C2"/>
    <w:rsid w:val="68D83950"/>
    <w:rsid w:val="68E436DE"/>
    <w:rsid w:val="68EC42DC"/>
    <w:rsid w:val="68EE3FDA"/>
    <w:rsid w:val="68F13440"/>
    <w:rsid w:val="68F92BDE"/>
    <w:rsid w:val="69016A70"/>
    <w:rsid w:val="69091578"/>
    <w:rsid w:val="69097E14"/>
    <w:rsid w:val="69177525"/>
    <w:rsid w:val="691E28F2"/>
    <w:rsid w:val="692A7A45"/>
    <w:rsid w:val="69422F1A"/>
    <w:rsid w:val="694608A7"/>
    <w:rsid w:val="69620924"/>
    <w:rsid w:val="696B5D7C"/>
    <w:rsid w:val="69723D90"/>
    <w:rsid w:val="697B598B"/>
    <w:rsid w:val="697D72FA"/>
    <w:rsid w:val="69B03ADD"/>
    <w:rsid w:val="69B17B4B"/>
    <w:rsid w:val="69C446B2"/>
    <w:rsid w:val="69C533EB"/>
    <w:rsid w:val="69C94B12"/>
    <w:rsid w:val="69D27920"/>
    <w:rsid w:val="69D5022F"/>
    <w:rsid w:val="69D50271"/>
    <w:rsid w:val="69DB3CE4"/>
    <w:rsid w:val="69DD372D"/>
    <w:rsid w:val="69EB3819"/>
    <w:rsid w:val="69FD272C"/>
    <w:rsid w:val="6A0B28E8"/>
    <w:rsid w:val="6A152317"/>
    <w:rsid w:val="6A1B0D6C"/>
    <w:rsid w:val="6A432F2E"/>
    <w:rsid w:val="6A454C42"/>
    <w:rsid w:val="6A494B44"/>
    <w:rsid w:val="6A560D58"/>
    <w:rsid w:val="6A7A0D14"/>
    <w:rsid w:val="6A8A3908"/>
    <w:rsid w:val="6A8D246A"/>
    <w:rsid w:val="6A95470F"/>
    <w:rsid w:val="6A9C11E4"/>
    <w:rsid w:val="6AAA6960"/>
    <w:rsid w:val="6AB017B7"/>
    <w:rsid w:val="6AB95389"/>
    <w:rsid w:val="6AC70FEF"/>
    <w:rsid w:val="6AD613FE"/>
    <w:rsid w:val="6AF10B14"/>
    <w:rsid w:val="6AF6041A"/>
    <w:rsid w:val="6AF7E1DE"/>
    <w:rsid w:val="6AFE774D"/>
    <w:rsid w:val="6B0331A9"/>
    <w:rsid w:val="6B2575DF"/>
    <w:rsid w:val="6B2C4F7C"/>
    <w:rsid w:val="6B2D0D3A"/>
    <w:rsid w:val="6B360C7A"/>
    <w:rsid w:val="6B3B43EE"/>
    <w:rsid w:val="6B435450"/>
    <w:rsid w:val="6B5B7B25"/>
    <w:rsid w:val="6B5F7507"/>
    <w:rsid w:val="6B7A1CC9"/>
    <w:rsid w:val="6B80225B"/>
    <w:rsid w:val="6B8439D1"/>
    <w:rsid w:val="6B856FF1"/>
    <w:rsid w:val="6B8B7AE4"/>
    <w:rsid w:val="6B94389F"/>
    <w:rsid w:val="6B950C78"/>
    <w:rsid w:val="6B9905A1"/>
    <w:rsid w:val="6BA8152C"/>
    <w:rsid w:val="6BA96FAE"/>
    <w:rsid w:val="6BB7264B"/>
    <w:rsid w:val="6BC31FD6"/>
    <w:rsid w:val="6BCB4DEA"/>
    <w:rsid w:val="6BD5694A"/>
    <w:rsid w:val="6BDED27B"/>
    <w:rsid w:val="6BE347B5"/>
    <w:rsid w:val="6BE91CAC"/>
    <w:rsid w:val="6BF127B4"/>
    <w:rsid w:val="6BF179AF"/>
    <w:rsid w:val="6C057AF4"/>
    <w:rsid w:val="6C0E3CB7"/>
    <w:rsid w:val="6C2E26C3"/>
    <w:rsid w:val="6C3A4494"/>
    <w:rsid w:val="6C436D2E"/>
    <w:rsid w:val="6C44177B"/>
    <w:rsid w:val="6C472412"/>
    <w:rsid w:val="6C5042C3"/>
    <w:rsid w:val="6C594400"/>
    <w:rsid w:val="6C5C2690"/>
    <w:rsid w:val="6C5D61F5"/>
    <w:rsid w:val="6C727524"/>
    <w:rsid w:val="6C7736DB"/>
    <w:rsid w:val="6C78661D"/>
    <w:rsid w:val="6C811E9F"/>
    <w:rsid w:val="6C867978"/>
    <w:rsid w:val="6C873331"/>
    <w:rsid w:val="6CA61ACF"/>
    <w:rsid w:val="6CA96CCF"/>
    <w:rsid w:val="6CBE007F"/>
    <w:rsid w:val="6CCF7D71"/>
    <w:rsid w:val="6CDE7BF4"/>
    <w:rsid w:val="6D003406"/>
    <w:rsid w:val="6D03732C"/>
    <w:rsid w:val="6D112E89"/>
    <w:rsid w:val="6D14712B"/>
    <w:rsid w:val="6D2E0CC3"/>
    <w:rsid w:val="6D395660"/>
    <w:rsid w:val="6D430790"/>
    <w:rsid w:val="6D4438E5"/>
    <w:rsid w:val="6D49003D"/>
    <w:rsid w:val="6D4D0334"/>
    <w:rsid w:val="6D4F47AA"/>
    <w:rsid w:val="6D63004E"/>
    <w:rsid w:val="6D6579F4"/>
    <w:rsid w:val="6D663E7C"/>
    <w:rsid w:val="6D7052BE"/>
    <w:rsid w:val="6D71059F"/>
    <w:rsid w:val="6D79438A"/>
    <w:rsid w:val="6D8A283F"/>
    <w:rsid w:val="6D9510D7"/>
    <w:rsid w:val="6DA305C4"/>
    <w:rsid w:val="6DA67ACE"/>
    <w:rsid w:val="6DC352A9"/>
    <w:rsid w:val="6DCB0D7C"/>
    <w:rsid w:val="6DD9162B"/>
    <w:rsid w:val="6DE84CC2"/>
    <w:rsid w:val="6DE86D41"/>
    <w:rsid w:val="6DEE184A"/>
    <w:rsid w:val="6DEF0050"/>
    <w:rsid w:val="6DF0067C"/>
    <w:rsid w:val="6DF63D28"/>
    <w:rsid w:val="6E005C7F"/>
    <w:rsid w:val="6E1F3FA6"/>
    <w:rsid w:val="6E231433"/>
    <w:rsid w:val="6E4010B5"/>
    <w:rsid w:val="6E4C7D3A"/>
    <w:rsid w:val="6E626A33"/>
    <w:rsid w:val="6E653AC5"/>
    <w:rsid w:val="6E7864AC"/>
    <w:rsid w:val="6E7A70D2"/>
    <w:rsid w:val="6E834241"/>
    <w:rsid w:val="6E8509E1"/>
    <w:rsid w:val="6E875659"/>
    <w:rsid w:val="6E8C7586"/>
    <w:rsid w:val="6EA22AE8"/>
    <w:rsid w:val="6EAD147E"/>
    <w:rsid w:val="6EB11BB7"/>
    <w:rsid w:val="6EBC4FA7"/>
    <w:rsid w:val="6EC17DFC"/>
    <w:rsid w:val="6EC33949"/>
    <w:rsid w:val="6ECB4A78"/>
    <w:rsid w:val="6ED54B80"/>
    <w:rsid w:val="6ED817A1"/>
    <w:rsid w:val="6EDB2D77"/>
    <w:rsid w:val="6EE34291"/>
    <w:rsid w:val="6EEB7373"/>
    <w:rsid w:val="6EEF645D"/>
    <w:rsid w:val="6F065FE9"/>
    <w:rsid w:val="6F2A0A1E"/>
    <w:rsid w:val="6F2A1CC8"/>
    <w:rsid w:val="6F311B5E"/>
    <w:rsid w:val="6F485528"/>
    <w:rsid w:val="6F4E1FED"/>
    <w:rsid w:val="6F5D0AFC"/>
    <w:rsid w:val="6F5E7426"/>
    <w:rsid w:val="6F66471D"/>
    <w:rsid w:val="6F6D3180"/>
    <w:rsid w:val="6F7B4457"/>
    <w:rsid w:val="6F8342E2"/>
    <w:rsid w:val="6F8563B3"/>
    <w:rsid w:val="6F8A2C24"/>
    <w:rsid w:val="6FB170BC"/>
    <w:rsid w:val="6FBD51A3"/>
    <w:rsid w:val="6FBE5B09"/>
    <w:rsid w:val="6FBF505B"/>
    <w:rsid w:val="6FDF7FD7"/>
    <w:rsid w:val="6FE27E67"/>
    <w:rsid w:val="6FF00E14"/>
    <w:rsid w:val="6FF77313"/>
    <w:rsid w:val="6FFB3816"/>
    <w:rsid w:val="6FFE4EE2"/>
    <w:rsid w:val="6FFF6C55"/>
    <w:rsid w:val="7013203D"/>
    <w:rsid w:val="70142BD7"/>
    <w:rsid w:val="70214240"/>
    <w:rsid w:val="702C0461"/>
    <w:rsid w:val="702C4E76"/>
    <w:rsid w:val="70386B52"/>
    <w:rsid w:val="70460384"/>
    <w:rsid w:val="704B429B"/>
    <w:rsid w:val="7053171F"/>
    <w:rsid w:val="705335B5"/>
    <w:rsid w:val="70744D4E"/>
    <w:rsid w:val="70744D5D"/>
    <w:rsid w:val="7091631A"/>
    <w:rsid w:val="7094687C"/>
    <w:rsid w:val="709F1092"/>
    <w:rsid w:val="70B27955"/>
    <w:rsid w:val="70B5632B"/>
    <w:rsid w:val="70BF2D54"/>
    <w:rsid w:val="70BF3468"/>
    <w:rsid w:val="70C611CC"/>
    <w:rsid w:val="70C65B4D"/>
    <w:rsid w:val="70CA7F9D"/>
    <w:rsid w:val="70DE65E3"/>
    <w:rsid w:val="70E04337"/>
    <w:rsid w:val="70E67CA3"/>
    <w:rsid w:val="70F07304"/>
    <w:rsid w:val="70F22AD1"/>
    <w:rsid w:val="70FC26EE"/>
    <w:rsid w:val="710D7BD1"/>
    <w:rsid w:val="71144C4A"/>
    <w:rsid w:val="712458C1"/>
    <w:rsid w:val="712532B8"/>
    <w:rsid w:val="71300B1D"/>
    <w:rsid w:val="71314A42"/>
    <w:rsid w:val="71324EFE"/>
    <w:rsid w:val="71336725"/>
    <w:rsid w:val="713760F4"/>
    <w:rsid w:val="713D5838"/>
    <w:rsid w:val="715339D9"/>
    <w:rsid w:val="71740460"/>
    <w:rsid w:val="717814E8"/>
    <w:rsid w:val="71854E39"/>
    <w:rsid w:val="719263DB"/>
    <w:rsid w:val="719D065E"/>
    <w:rsid w:val="71A860A4"/>
    <w:rsid w:val="71AC6B68"/>
    <w:rsid w:val="71C13326"/>
    <w:rsid w:val="71D50B3D"/>
    <w:rsid w:val="71E94B73"/>
    <w:rsid w:val="720C252B"/>
    <w:rsid w:val="72172567"/>
    <w:rsid w:val="721F029F"/>
    <w:rsid w:val="722B02B0"/>
    <w:rsid w:val="723121D8"/>
    <w:rsid w:val="72320FF1"/>
    <w:rsid w:val="72336FF3"/>
    <w:rsid w:val="723D75A5"/>
    <w:rsid w:val="72450E28"/>
    <w:rsid w:val="7247383B"/>
    <w:rsid w:val="725B4EE7"/>
    <w:rsid w:val="725E1550"/>
    <w:rsid w:val="72692C0E"/>
    <w:rsid w:val="72777913"/>
    <w:rsid w:val="72841F45"/>
    <w:rsid w:val="72857CB1"/>
    <w:rsid w:val="728612FE"/>
    <w:rsid w:val="728903ED"/>
    <w:rsid w:val="728D374C"/>
    <w:rsid w:val="729141CB"/>
    <w:rsid w:val="72A15B99"/>
    <w:rsid w:val="72AF665F"/>
    <w:rsid w:val="72BA4C47"/>
    <w:rsid w:val="72F61F9D"/>
    <w:rsid w:val="72FB7C35"/>
    <w:rsid w:val="730F1D2A"/>
    <w:rsid w:val="73147167"/>
    <w:rsid w:val="73151D16"/>
    <w:rsid w:val="73344FF7"/>
    <w:rsid w:val="73350325"/>
    <w:rsid w:val="73376795"/>
    <w:rsid w:val="733D7598"/>
    <w:rsid w:val="733E3B61"/>
    <w:rsid w:val="73414AAE"/>
    <w:rsid w:val="734E5818"/>
    <w:rsid w:val="735A6853"/>
    <w:rsid w:val="736150E5"/>
    <w:rsid w:val="7368464C"/>
    <w:rsid w:val="736B117D"/>
    <w:rsid w:val="736D148E"/>
    <w:rsid w:val="736D4516"/>
    <w:rsid w:val="737701F9"/>
    <w:rsid w:val="738C34F1"/>
    <w:rsid w:val="7395069C"/>
    <w:rsid w:val="739910EA"/>
    <w:rsid w:val="73A31731"/>
    <w:rsid w:val="73B01ECB"/>
    <w:rsid w:val="73B076EB"/>
    <w:rsid w:val="73B36806"/>
    <w:rsid w:val="73BE20E9"/>
    <w:rsid w:val="73C67EA3"/>
    <w:rsid w:val="73C979CD"/>
    <w:rsid w:val="73CD3ECC"/>
    <w:rsid w:val="73D15E50"/>
    <w:rsid w:val="73D5346B"/>
    <w:rsid w:val="73EF327B"/>
    <w:rsid w:val="73F4640D"/>
    <w:rsid w:val="73F66CF7"/>
    <w:rsid w:val="73F9271A"/>
    <w:rsid w:val="73F93304"/>
    <w:rsid w:val="73FA5662"/>
    <w:rsid w:val="740622E5"/>
    <w:rsid w:val="742C0C29"/>
    <w:rsid w:val="742C5DA8"/>
    <w:rsid w:val="742E74F7"/>
    <w:rsid w:val="74420D01"/>
    <w:rsid w:val="7446596D"/>
    <w:rsid w:val="745B3DF0"/>
    <w:rsid w:val="74712DB2"/>
    <w:rsid w:val="74746CCB"/>
    <w:rsid w:val="74762215"/>
    <w:rsid w:val="747C7DE3"/>
    <w:rsid w:val="74855C9E"/>
    <w:rsid w:val="748B2FAF"/>
    <w:rsid w:val="7491354E"/>
    <w:rsid w:val="74A20EB0"/>
    <w:rsid w:val="74AC4EDB"/>
    <w:rsid w:val="74B01729"/>
    <w:rsid w:val="74B57F5F"/>
    <w:rsid w:val="74B87A62"/>
    <w:rsid w:val="74C624CA"/>
    <w:rsid w:val="74C64882"/>
    <w:rsid w:val="74DB03CD"/>
    <w:rsid w:val="74E32B44"/>
    <w:rsid w:val="74E87003"/>
    <w:rsid w:val="74EF473A"/>
    <w:rsid w:val="74F72E4A"/>
    <w:rsid w:val="74F81158"/>
    <w:rsid w:val="74F82554"/>
    <w:rsid w:val="75062D52"/>
    <w:rsid w:val="751464DD"/>
    <w:rsid w:val="75187248"/>
    <w:rsid w:val="75234293"/>
    <w:rsid w:val="753845D8"/>
    <w:rsid w:val="7542516C"/>
    <w:rsid w:val="755039FF"/>
    <w:rsid w:val="755611CF"/>
    <w:rsid w:val="75600402"/>
    <w:rsid w:val="7561141E"/>
    <w:rsid w:val="75716780"/>
    <w:rsid w:val="75733B7D"/>
    <w:rsid w:val="757568FC"/>
    <w:rsid w:val="757832DA"/>
    <w:rsid w:val="757C3C7D"/>
    <w:rsid w:val="75803B11"/>
    <w:rsid w:val="75812E57"/>
    <w:rsid w:val="75882EA3"/>
    <w:rsid w:val="75B637C7"/>
    <w:rsid w:val="75BB3258"/>
    <w:rsid w:val="75BF678B"/>
    <w:rsid w:val="75C32481"/>
    <w:rsid w:val="75C5191C"/>
    <w:rsid w:val="75D74104"/>
    <w:rsid w:val="75D7681F"/>
    <w:rsid w:val="75E14496"/>
    <w:rsid w:val="75E66E81"/>
    <w:rsid w:val="75E972D5"/>
    <w:rsid w:val="75EF70BB"/>
    <w:rsid w:val="75F1488F"/>
    <w:rsid w:val="75F515C7"/>
    <w:rsid w:val="761B3B9A"/>
    <w:rsid w:val="762850BD"/>
    <w:rsid w:val="762D1BDF"/>
    <w:rsid w:val="7630362A"/>
    <w:rsid w:val="763831EA"/>
    <w:rsid w:val="7648286C"/>
    <w:rsid w:val="76592C77"/>
    <w:rsid w:val="765D0F07"/>
    <w:rsid w:val="765D1467"/>
    <w:rsid w:val="766F30F4"/>
    <w:rsid w:val="768F765B"/>
    <w:rsid w:val="76CD2007"/>
    <w:rsid w:val="76D05882"/>
    <w:rsid w:val="76D30382"/>
    <w:rsid w:val="76D369CA"/>
    <w:rsid w:val="76D74535"/>
    <w:rsid w:val="76DE324E"/>
    <w:rsid w:val="76E4149D"/>
    <w:rsid w:val="76E73AAD"/>
    <w:rsid w:val="76ED63B1"/>
    <w:rsid w:val="76F33958"/>
    <w:rsid w:val="76F730D9"/>
    <w:rsid w:val="76FE55A1"/>
    <w:rsid w:val="77080D49"/>
    <w:rsid w:val="770D4CB0"/>
    <w:rsid w:val="772A6F51"/>
    <w:rsid w:val="77560187"/>
    <w:rsid w:val="77607E4C"/>
    <w:rsid w:val="776273EA"/>
    <w:rsid w:val="776D135C"/>
    <w:rsid w:val="776E2F2B"/>
    <w:rsid w:val="7770055F"/>
    <w:rsid w:val="7776200D"/>
    <w:rsid w:val="77862005"/>
    <w:rsid w:val="779C29A9"/>
    <w:rsid w:val="77A10ACC"/>
    <w:rsid w:val="77AA2225"/>
    <w:rsid w:val="77B206E9"/>
    <w:rsid w:val="77BAAE90"/>
    <w:rsid w:val="77C26B4F"/>
    <w:rsid w:val="77DD0D54"/>
    <w:rsid w:val="77DE1220"/>
    <w:rsid w:val="77FFE784"/>
    <w:rsid w:val="78025576"/>
    <w:rsid w:val="780D56AB"/>
    <w:rsid w:val="7818628C"/>
    <w:rsid w:val="7822785E"/>
    <w:rsid w:val="782B74B0"/>
    <w:rsid w:val="78410D9D"/>
    <w:rsid w:val="78463BAE"/>
    <w:rsid w:val="78563A4D"/>
    <w:rsid w:val="785E7714"/>
    <w:rsid w:val="78605A1A"/>
    <w:rsid w:val="78730C2B"/>
    <w:rsid w:val="7876423B"/>
    <w:rsid w:val="7879792D"/>
    <w:rsid w:val="787A1931"/>
    <w:rsid w:val="78840834"/>
    <w:rsid w:val="788A6171"/>
    <w:rsid w:val="788B7100"/>
    <w:rsid w:val="789571BF"/>
    <w:rsid w:val="78984361"/>
    <w:rsid w:val="789F5ED5"/>
    <w:rsid w:val="78A121B8"/>
    <w:rsid w:val="78AF683B"/>
    <w:rsid w:val="78CD27F8"/>
    <w:rsid w:val="78D07094"/>
    <w:rsid w:val="78E964F4"/>
    <w:rsid w:val="78ED0229"/>
    <w:rsid w:val="78F62965"/>
    <w:rsid w:val="78F9411F"/>
    <w:rsid w:val="78FE4D55"/>
    <w:rsid w:val="790667C0"/>
    <w:rsid w:val="79087A14"/>
    <w:rsid w:val="791B1575"/>
    <w:rsid w:val="792C79B0"/>
    <w:rsid w:val="79344FBB"/>
    <w:rsid w:val="794A09AB"/>
    <w:rsid w:val="794C6210"/>
    <w:rsid w:val="794F5632"/>
    <w:rsid w:val="79505A47"/>
    <w:rsid w:val="79533338"/>
    <w:rsid w:val="795429AB"/>
    <w:rsid w:val="79630E0C"/>
    <w:rsid w:val="797A1B70"/>
    <w:rsid w:val="797B145D"/>
    <w:rsid w:val="79880E2C"/>
    <w:rsid w:val="7998360F"/>
    <w:rsid w:val="79AB43C0"/>
    <w:rsid w:val="79BA012B"/>
    <w:rsid w:val="79CA1CFE"/>
    <w:rsid w:val="79DB5CBC"/>
    <w:rsid w:val="79F211F5"/>
    <w:rsid w:val="79F243D4"/>
    <w:rsid w:val="79F82A1F"/>
    <w:rsid w:val="7A294563"/>
    <w:rsid w:val="7A321CB5"/>
    <w:rsid w:val="7A343354"/>
    <w:rsid w:val="7A4863B9"/>
    <w:rsid w:val="7A4C3576"/>
    <w:rsid w:val="7A4F06C1"/>
    <w:rsid w:val="7A50635F"/>
    <w:rsid w:val="7A512CDA"/>
    <w:rsid w:val="7A5310C8"/>
    <w:rsid w:val="7A587B47"/>
    <w:rsid w:val="7A605E56"/>
    <w:rsid w:val="7A6E7DF4"/>
    <w:rsid w:val="7A745A03"/>
    <w:rsid w:val="7A7B2526"/>
    <w:rsid w:val="7A8710C8"/>
    <w:rsid w:val="7A8B6668"/>
    <w:rsid w:val="7A961396"/>
    <w:rsid w:val="7A996136"/>
    <w:rsid w:val="7AA74EBA"/>
    <w:rsid w:val="7AAE5E49"/>
    <w:rsid w:val="7AAE64EF"/>
    <w:rsid w:val="7AB1712E"/>
    <w:rsid w:val="7ABB15B0"/>
    <w:rsid w:val="7AC34825"/>
    <w:rsid w:val="7ACF5B0D"/>
    <w:rsid w:val="7AD318D7"/>
    <w:rsid w:val="7AD40C54"/>
    <w:rsid w:val="7AD46258"/>
    <w:rsid w:val="7ADE49E8"/>
    <w:rsid w:val="7ADF0B32"/>
    <w:rsid w:val="7B024E31"/>
    <w:rsid w:val="7B0963A6"/>
    <w:rsid w:val="7B2320B2"/>
    <w:rsid w:val="7B4C7A4B"/>
    <w:rsid w:val="7B4D2700"/>
    <w:rsid w:val="7B5257E3"/>
    <w:rsid w:val="7B5976F7"/>
    <w:rsid w:val="7B635C7F"/>
    <w:rsid w:val="7B6E37F9"/>
    <w:rsid w:val="7B890513"/>
    <w:rsid w:val="7B8A44E9"/>
    <w:rsid w:val="7B93255E"/>
    <w:rsid w:val="7B9C4147"/>
    <w:rsid w:val="7B9F12EC"/>
    <w:rsid w:val="7BA56056"/>
    <w:rsid w:val="7BA93CFA"/>
    <w:rsid w:val="7BAB5343"/>
    <w:rsid w:val="7BBD1DEF"/>
    <w:rsid w:val="7BCC210A"/>
    <w:rsid w:val="7BF23A29"/>
    <w:rsid w:val="7BF73180"/>
    <w:rsid w:val="7BFF22FF"/>
    <w:rsid w:val="7C0D091F"/>
    <w:rsid w:val="7C2F00E9"/>
    <w:rsid w:val="7C335221"/>
    <w:rsid w:val="7C4A41A8"/>
    <w:rsid w:val="7C4E2200"/>
    <w:rsid w:val="7C4F2388"/>
    <w:rsid w:val="7C536891"/>
    <w:rsid w:val="7C5725D0"/>
    <w:rsid w:val="7C6558C0"/>
    <w:rsid w:val="7C655B2E"/>
    <w:rsid w:val="7CAA4B02"/>
    <w:rsid w:val="7CAF6135"/>
    <w:rsid w:val="7CB46C23"/>
    <w:rsid w:val="7CBEE3E3"/>
    <w:rsid w:val="7CDF1226"/>
    <w:rsid w:val="7CE13323"/>
    <w:rsid w:val="7CE5095F"/>
    <w:rsid w:val="7CE620A4"/>
    <w:rsid w:val="7CEC7051"/>
    <w:rsid w:val="7D0D1339"/>
    <w:rsid w:val="7D197FE5"/>
    <w:rsid w:val="7D211AEC"/>
    <w:rsid w:val="7D4F64C6"/>
    <w:rsid w:val="7D5249B4"/>
    <w:rsid w:val="7D527FB6"/>
    <w:rsid w:val="7D684068"/>
    <w:rsid w:val="7D6C5354"/>
    <w:rsid w:val="7D6D3D30"/>
    <w:rsid w:val="7D702769"/>
    <w:rsid w:val="7DAC6959"/>
    <w:rsid w:val="7DAF10BD"/>
    <w:rsid w:val="7DB008F5"/>
    <w:rsid w:val="7DB838DA"/>
    <w:rsid w:val="7DB9147E"/>
    <w:rsid w:val="7DCD59A4"/>
    <w:rsid w:val="7DE60431"/>
    <w:rsid w:val="7DE841E7"/>
    <w:rsid w:val="7DFF6232"/>
    <w:rsid w:val="7E010DBB"/>
    <w:rsid w:val="7E057CDD"/>
    <w:rsid w:val="7E0F2109"/>
    <w:rsid w:val="7E1C3469"/>
    <w:rsid w:val="7E1F3C97"/>
    <w:rsid w:val="7E331FF8"/>
    <w:rsid w:val="7E4E6317"/>
    <w:rsid w:val="7E505E0B"/>
    <w:rsid w:val="7E664B8F"/>
    <w:rsid w:val="7E6E3065"/>
    <w:rsid w:val="7E703366"/>
    <w:rsid w:val="7E76789D"/>
    <w:rsid w:val="7E87495C"/>
    <w:rsid w:val="7E8D5ACC"/>
    <w:rsid w:val="7E9254FE"/>
    <w:rsid w:val="7EA03421"/>
    <w:rsid w:val="7EA23A7B"/>
    <w:rsid w:val="7EAC33A2"/>
    <w:rsid w:val="7EB03D21"/>
    <w:rsid w:val="7ECB0ABD"/>
    <w:rsid w:val="7ED01DC0"/>
    <w:rsid w:val="7ED22271"/>
    <w:rsid w:val="7ED7620D"/>
    <w:rsid w:val="7EF30916"/>
    <w:rsid w:val="7EFB1682"/>
    <w:rsid w:val="7F017C70"/>
    <w:rsid w:val="7F1F312E"/>
    <w:rsid w:val="7F4E246A"/>
    <w:rsid w:val="7F517C97"/>
    <w:rsid w:val="7F595FCE"/>
    <w:rsid w:val="7F5E1356"/>
    <w:rsid w:val="7F5E2C26"/>
    <w:rsid w:val="7F6560F5"/>
    <w:rsid w:val="7F6F0DDF"/>
    <w:rsid w:val="7F71644B"/>
    <w:rsid w:val="7F7919CE"/>
    <w:rsid w:val="7F81470E"/>
    <w:rsid w:val="7F8B54BA"/>
    <w:rsid w:val="7F907D80"/>
    <w:rsid w:val="7FA61DDD"/>
    <w:rsid w:val="7FA77408"/>
    <w:rsid w:val="7FB54ABE"/>
    <w:rsid w:val="7FB64B81"/>
    <w:rsid w:val="7FC318C4"/>
    <w:rsid w:val="7FD21D02"/>
    <w:rsid w:val="7FD74E77"/>
    <w:rsid w:val="7FDF2BD1"/>
    <w:rsid w:val="7FDF3227"/>
    <w:rsid w:val="7FF1357F"/>
    <w:rsid w:val="7FF221C8"/>
    <w:rsid w:val="7FF79ABC"/>
    <w:rsid w:val="7FFC0F98"/>
    <w:rsid w:val="7FFCE296"/>
    <w:rsid w:val="7FFF92D2"/>
    <w:rsid w:val="9EE66156"/>
    <w:rsid w:val="9FE5657E"/>
    <w:rsid w:val="ADB4C992"/>
    <w:rsid w:val="AFAF36C5"/>
    <w:rsid w:val="AFBE034A"/>
    <w:rsid w:val="BAD73987"/>
    <w:rsid w:val="BBBFB459"/>
    <w:rsid w:val="BBFEC0BF"/>
    <w:rsid w:val="BBFF0EFA"/>
    <w:rsid w:val="BD7F553A"/>
    <w:rsid w:val="BDDA5E2E"/>
    <w:rsid w:val="BDF62800"/>
    <w:rsid w:val="C7BFF852"/>
    <w:rsid w:val="CBDFE524"/>
    <w:rsid w:val="CECF24EC"/>
    <w:rsid w:val="D7F7ADBB"/>
    <w:rsid w:val="D9AF12CA"/>
    <w:rsid w:val="DB7769F0"/>
    <w:rsid w:val="DDBBB55F"/>
    <w:rsid w:val="DFEFF08C"/>
    <w:rsid w:val="EABDFEBC"/>
    <w:rsid w:val="EBBC136C"/>
    <w:rsid w:val="EBEFDC5B"/>
    <w:rsid w:val="EEEFB813"/>
    <w:rsid w:val="EF7DD569"/>
    <w:rsid w:val="F7FF7584"/>
    <w:rsid w:val="FA7F98B4"/>
    <w:rsid w:val="FBED3C48"/>
    <w:rsid w:val="FC6FBB24"/>
    <w:rsid w:val="FD6F2806"/>
    <w:rsid w:val="FD7EBBA9"/>
    <w:rsid w:val="FE7CAF1C"/>
    <w:rsid w:val="FE9A6556"/>
    <w:rsid w:val="FF7668C5"/>
    <w:rsid w:val="FF8F876F"/>
    <w:rsid w:val="FFDBDD8D"/>
    <w:rsid w:val="FFE78BAA"/>
    <w:rsid w:val="FFFA227A"/>
    <w:rsid w:val="FFFA8F61"/>
    <w:rsid w:val="FFFEBE8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00" w:lineRule="exact"/>
      <w:ind w:firstLine="960" w:firstLineChars="200"/>
      <w:jc w:val="both"/>
    </w:pPr>
    <w:rPr>
      <w:rFonts w:ascii="Calibri" w:hAnsi="Calibri" w:eastAsia="宋体" w:cs="Times New Roman"/>
      <w:kern w:val="2"/>
      <w:sz w:val="28"/>
      <w:lang w:val="en-US" w:eastAsia="zh-CN" w:bidi="ar-SA"/>
    </w:rPr>
  </w:style>
  <w:style w:type="paragraph" w:styleId="3">
    <w:name w:val="heading 1"/>
    <w:basedOn w:val="4"/>
    <w:next w:val="1"/>
    <w:qFormat/>
    <w:uiPriority w:val="0"/>
    <w:pPr>
      <w:keepNext/>
      <w:keepLines/>
      <w:numPr>
        <w:ilvl w:val="0"/>
        <w:numId w:val="1"/>
      </w:numPr>
      <w:spacing w:before="340" w:after="330" w:line="576" w:lineRule="auto"/>
      <w:outlineLvl w:val="0"/>
    </w:pPr>
    <w:rPr>
      <w:rFonts w:ascii="Calibri" w:hAnsi="Calibri"/>
      <w:b/>
      <w:kern w:val="44"/>
      <w:sz w:val="44"/>
    </w:rPr>
  </w:style>
  <w:style w:type="paragraph" w:styleId="5">
    <w:name w:val="heading 2"/>
    <w:basedOn w:val="6"/>
    <w:next w:val="1"/>
    <w:qFormat/>
    <w:uiPriority w:val="0"/>
    <w:pPr>
      <w:keepNext/>
      <w:keepLines/>
      <w:numPr>
        <w:ilvl w:val="1"/>
        <w:numId w:val="0"/>
      </w:numPr>
      <w:spacing w:before="20" w:after="20" w:line="500" w:lineRule="exact"/>
      <w:ind w:left="0" w:firstLine="960" w:firstLineChars="200"/>
      <w:jc w:val="left"/>
      <w:outlineLvl w:val="1"/>
    </w:pPr>
    <w:rPr>
      <w:rFonts w:eastAsia="宋体"/>
      <w:b/>
      <w:kern w:val="0"/>
    </w:rPr>
  </w:style>
  <w:style w:type="paragraph" w:styleId="7">
    <w:name w:val="heading 3"/>
    <w:basedOn w:val="1"/>
    <w:next w:val="1"/>
    <w:qFormat/>
    <w:uiPriority w:val="0"/>
    <w:pPr>
      <w:keepNext/>
      <w:keepLines/>
      <w:numPr>
        <w:ilvl w:val="2"/>
        <w:numId w:val="0"/>
      </w:numPr>
      <w:tabs>
        <w:tab w:val="left" w:pos="432"/>
      </w:tabs>
      <w:spacing w:line="500" w:lineRule="exact"/>
      <w:ind w:left="0"/>
      <w:outlineLvl w:val="2"/>
    </w:pPr>
    <w:rPr>
      <w:b/>
      <w:kern w:val="0"/>
    </w:rPr>
  </w:style>
  <w:style w:type="paragraph" w:styleId="8">
    <w:name w:val="heading 4"/>
    <w:basedOn w:val="1"/>
    <w:next w:val="1"/>
    <w:qFormat/>
    <w:uiPriority w:val="0"/>
    <w:pPr>
      <w:keepNext/>
      <w:keepLines/>
      <w:numPr>
        <w:ilvl w:val="3"/>
        <w:numId w:val="2"/>
      </w:numPr>
      <w:spacing w:beforeLines="0" w:beforeAutospacing="0" w:afterLines="0" w:afterAutospacing="0" w:line="560" w:lineRule="exact"/>
      <w:ind w:left="864" w:hanging="864"/>
      <w:outlineLvl w:val="3"/>
    </w:pPr>
    <w:rPr>
      <w:rFonts w:ascii="Arial" w:hAnsi="Arial" w:eastAsia="方正楷体_GBK"/>
      <w:b/>
      <w:sz w:val="30"/>
    </w:rPr>
  </w:style>
  <w:style w:type="character" w:default="1" w:styleId="14">
    <w:name w:val="Default Paragraph Font"/>
    <w:semiHidden/>
    <w:qFormat/>
    <w:uiPriority w:val="0"/>
  </w:style>
  <w:style w:type="table" w:default="1" w:styleId="13">
    <w:name w:val="Normal Table"/>
    <w:semiHidden/>
    <w:qFormat/>
    <w:uiPriority w:val="0"/>
    <w:tblPr>
      <w:tblLayout w:type="fixed"/>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style>
  <w:style w:type="paragraph" w:customStyle="1" w:styleId="4">
    <w:name w:val="各章标题"/>
    <w:basedOn w:val="1"/>
    <w:qFormat/>
    <w:uiPriority w:val="0"/>
    <w:pPr>
      <w:spacing w:before="480" w:after="360"/>
      <w:jc w:val="center"/>
    </w:pPr>
    <w:rPr>
      <w:rFonts w:ascii="黑体" w:hAnsi="黑体" w:eastAsia="黑体"/>
      <w:sz w:val="32"/>
      <w:szCs w:val="32"/>
    </w:rPr>
  </w:style>
  <w:style w:type="paragraph" w:customStyle="1" w:styleId="6">
    <w:name w:val="一级节标题"/>
    <w:basedOn w:val="1"/>
    <w:qFormat/>
    <w:uiPriority w:val="0"/>
    <w:pPr>
      <w:spacing w:before="480" w:after="120" w:line="400" w:lineRule="exact"/>
      <w:jc w:val="left"/>
    </w:pPr>
    <w:rPr>
      <w:rFonts w:eastAsia="黑体"/>
      <w:sz w:val="28"/>
    </w:rPr>
  </w:style>
  <w:style w:type="paragraph" w:styleId="9">
    <w:name w:val="annotation text"/>
    <w:basedOn w:val="1"/>
    <w:qFormat/>
    <w:uiPriority w:val="0"/>
    <w:pPr>
      <w:jc w:val="left"/>
    </w:pPr>
  </w:style>
  <w:style w:type="paragraph" w:styleId="10">
    <w:name w:val="footer"/>
    <w:basedOn w:val="1"/>
    <w:qFormat/>
    <w:uiPriority w:val="0"/>
    <w:pPr>
      <w:tabs>
        <w:tab w:val="center" w:pos="4153"/>
        <w:tab w:val="right" w:pos="8306"/>
      </w:tabs>
      <w:snapToGrid w:val="0"/>
    </w:pPr>
    <w:rPr>
      <w:rFonts w:ascii="Calibri" w:hAnsi="Calibri" w:eastAsia="宋体"/>
      <w:kern w:val="0"/>
      <w:sz w:val="18"/>
    </w:rPr>
  </w:style>
  <w:style w:type="paragraph" w:styleId="11">
    <w:name w:val="header"/>
    <w:basedOn w:val="1"/>
    <w:qFormat/>
    <w:uiPriority w:val="0"/>
    <w:pPr>
      <w:pBdr>
        <w:bottom w:val="single" w:color="auto" w:sz="6" w:space="1"/>
      </w:pBdr>
      <w:tabs>
        <w:tab w:val="center" w:pos="4153"/>
        <w:tab w:val="right" w:pos="8306"/>
      </w:tabs>
      <w:snapToGrid w:val="0"/>
    </w:pPr>
    <w:rPr>
      <w:rFonts w:ascii="Calibri" w:hAnsi="Calibri" w:eastAsia="宋体"/>
      <w:kern w:val="0"/>
      <w:sz w:val="18"/>
    </w:rPr>
  </w:style>
  <w:style w:type="paragraph" w:styleId="1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5">
    <w:name w:val="Strong"/>
    <w:qFormat/>
    <w:uiPriority w:val="22"/>
    <w:rPr>
      <w:rFonts w:eastAsia="宋体"/>
      <w:b/>
      <w:bCs/>
      <w:sz w:val="24"/>
    </w:rPr>
  </w:style>
  <w:style w:type="character" w:styleId="16">
    <w:name w:val="page number"/>
    <w:basedOn w:val="14"/>
    <w:qFormat/>
    <w:uiPriority w:val="0"/>
  </w:style>
  <w:style w:type="character" w:styleId="17">
    <w:name w:val="Hyperlink"/>
    <w:qFormat/>
    <w:uiPriority w:val="99"/>
    <w:rPr>
      <w:color w:val="000000"/>
      <w:u w:val="none"/>
    </w:rPr>
  </w:style>
  <w:style w:type="paragraph" w:customStyle="1" w:styleId="18">
    <w:name w:val="HY-正文"/>
    <w:basedOn w:val="1"/>
    <w:qFormat/>
    <w:uiPriority w:val="0"/>
    <w:pPr>
      <w:spacing w:line="580" w:lineRule="exact"/>
      <w:ind w:firstLine="200" w:firstLineChars="200"/>
    </w:pPr>
    <w:rPr>
      <w:rFonts w:ascii="仿宋_GB2312" w:hAnsi="宋体" w:eastAsia="方正仿宋_GBK"/>
      <w:szCs w:val="32"/>
    </w:rPr>
  </w:style>
  <w:style w:type="paragraph" w:customStyle="1" w:styleId="19">
    <w:name w:val="WPSOffice手动目录 1"/>
    <w:qFormat/>
    <w:uiPriority w:val="0"/>
    <w:rPr>
      <w:rFonts w:ascii="Calibri" w:hAnsi="Calibri" w:eastAsia="宋体" w:cs="Times New Roman"/>
      <w:lang w:val="en-US" w:eastAsia="zh-CN" w:bidi="ar-SA"/>
    </w:rPr>
  </w:style>
  <w:style w:type="paragraph" w:customStyle="1" w:styleId="20">
    <w:name w:val="WPSOffice手动目录 2"/>
    <w:qFormat/>
    <w:uiPriority w:val="0"/>
    <w:pPr>
      <w:ind w:leftChars="200"/>
    </w:pPr>
    <w:rPr>
      <w:rFonts w:ascii="Calibri" w:hAnsi="Calibri" w:eastAsia="宋体" w:cs="Times New Roman"/>
      <w:lang w:val="en-US" w:eastAsia="zh-CN" w:bidi="ar-SA"/>
    </w:rPr>
  </w:style>
  <w:style w:type="paragraph" w:customStyle="1" w:styleId="21">
    <w:name w:val="Default"/>
    <w:qFormat/>
    <w:uiPriority w:val="0"/>
    <w:pPr>
      <w:widowControl w:val="0"/>
      <w:autoSpaceDE w:val="0"/>
      <w:autoSpaceDN w:val="0"/>
      <w:adjustRightInd w:val="0"/>
    </w:pPr>
    <w:rPr>
      <w:rFonts w:ascii="宋体" w:hAnsi="Calibri" w:eastAsia="宋体" w:cs="Times New Roman"/>
      <w:color w:val="000000"/>
      <w:sz w:val="24"/>
      <w:szCs w:val="22"/>
      <w:lang w:val="en-US" w:eastAsia="zh-CN" w:bidi="ar-SA"/>
    </w:rPr>
  </w:style>
  <w:style w:type="paragraph" w:customStyle="1" w:styleId="22">
    <w:name w:val="图表"/>
    <w:basedOn w:val="5"/>
    <w:next w:val="1"/>
    <w:link w:val="24"/>
    <w:qFormat/>
    <w:uiPriority w:val="0"/>
    <w:pPr>
      <w:spacing w:before="50" w:beforeLines="50" w:after="50" w:afterLines="50"/>
      <w:ind w:firstLine="0" w:firstLineChars="0"/>
      <w:jc w:val="center"/>
      <w:outlineLvl w:val="9"/>
    </w:pPr>
    <w:rPr>
      <w:rFonts w:eastAsia="黑体"/>
      <w:sz w:val="24"/>
    </w:rPr>
  </w:style>
  <w:style w:type="paragraph" w:customStyle="1" w:styleId="23">
    <w:name w:val="表格"/>
    <w:basedOn w:val="1"/>
    <w:qFormat/>
    <w:uiPriority w:val="0"/>
    <w:pPr>
      <w:spacing w:line="240" w:lineRule="auto"/>
      <w:ind w:firstLine="0" w:firstLineChars="0"/>
      <w:jc w:val="center"/>
    </w:pPr>
    <w:rPr>
      <w:sz w:val="24"/>
    </w:rPr>
  </w:style>
  <w:style w:type="character" w:customStyle="1" w:styleId="24">
    <w:name w:val="图表 Char"/>
    <w:link w:val="22"/>
    <w:qFormat/>
    <w:uiPriority w:val="0"/>
    <w:rPr>
      <w:rFonts w:eastAsia="黑体"/>
      <w:sz w:val="24"/>
    </w:rPr>
  </w:style>
  <w:style w:type="character" w:customStyle="1" w:styleId="25">
    <w:name w:val="font11"/>
    <w:basedOn w:val="14"/>
    <w:qFormat/>
    <w:uiPriority w:val="0"/>
    <w:rPr>
      <w:rFonts w:hint="default" w:ascii="Times New Roman" w:hAnsi="Times New Roman" w:cs="Times New Roman"/>
      <w:b/>
      <w:bCs/>
      <w:color w:val="000000"/>
      <w:sz w:val="21"/>
      <w:szCs w:val="21"/>
      <w:u w:val="none"/>
    </w:rPr>
  </w:style>
  <w:style w:type="character" w:customStyle="1" w:styleId="26">
    <w:name w:val="font21"/>
    <w:basedOn w:val="14"/>
    <w:qFormat/>
    <w:uiPriority w:val="0"/>
    <w:rPr>
      <w:rFonts w:hint="eastAsia" w:ascii="宋体" w:hAnsi="宋体" w:eastAsia="宋体" w:cs="宋体"/>
      <w:b/>
      <w:bCs/>
      <w:color w:val="000000"/>
      <w:sz w:val="21"/>
      <w:szCs w:val="21"/>
      <w:u w:val="none"/>
    </w:rPr>
  </w:style>
  <w:style w:type="character" w:customStyle="1" w:styleId="27">
    <w:name w:val="font31"/>
    <w:basedOn w:val="14"/>
    <w:qFormat/>
    <w:uiPriority w:val="0"/>
    <w:rPr>
      <w:rFonts w:hint="default" w:ascii="Times New Roman" w:hAnsi="Times New Roman" w:cs="Times New Roman"/>
      <w:color w:val="000000"/>
      <w:sz w:val="21"/>
      <w:szCs w:val="21"/>
      <w:u w:val="none"/>
    </w:rPr>
  </w:style>
  <w:style w:type="character" w:customStyle="1" w:styleId="28">
    <w:name w:val="font51"/>
    <w:basedOn w:val="14"/>
    <w:qFormat/>
    <w:uiPriority w:val="0"/>
    <w:rPr>
      <w:rFonts w:hint="eastAsia" w:ascii="宋体" w:hAnsi="宋体" w:eastAsia="宋体" w:cs="宋体"/>
      <w:color w:val="000000"/>
      <w:sz w:val="21"/>
      <w:szCs w:val="21"/>
      <w:u w:val="none"/>
    </w:rPr>
  </w:style>
  <w:style w:type="paragraph" w:customStyle="1" w:styleId="29">
    <w:name w:val="Body Text_2009fe87-e44a-48b4-99e3-cbe91791f54c"/>
    <w:basedOn w:val="1"/>
    <w:qFormat/>
    <w:uiPriority w:val="0"/>
    <w:rPr>
      <w:rFonts w:ascii="Times New Roman" w:hAnsi="Times New Roman"/>
      <w:sz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4" Type="http://schemas.microsoft.com/office/2011/relationships/people" Target="people.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emf"/><Relationship Id="rId17" Type="http://schemas.openxmlformats.org/officeDocument/2006/relationships/image" Target="media/image2.emf"/><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100</Pages>
  <Words>14915</Words>
  <Characters>17215</Characters>
  <Lines>1</Lines>
  <Paragraphs>1</Paragraphs>
  <TotalTime>25</TotalTime>
  <ScaleCrop>false</ScaleCrop>
  <LinksUpToDate>false</LinksUpToDate>
  <CharactersWithSpaces>17960</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2025-04-05T22:35:00Z</dcterms:created>
  <dc:creator>王玉华</dc:creator>
  <cp:lastModifiedBy>赵济乾</cp:lastModifiedBy>
  <cp:lastPrinted>2025-04-23T06:09:00Z</cp:lastPrinted>
  <dcterms:modified xsi:type="dcterms:W3CDTF">2025-05-27T09:05:11Z</dcterms:modified>
  <dc:title>宿迁市2025年电力负荷管理预案</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ICV">
    <vt:lpwstr>719D7CF6E24B4C4C89C6E84A3D5E9CE4_13</vt:lpwstr>
  </property>
  <property fmtid="{D5CDD505-2E9C-101B-9397-08002B2CF9AE}" pid="4" name="KSOTemplateDocerSaveRecord">
    <vt:lpwstr>eyJoZGlkIjoiODAxZWY2ZGNkNWRjYjljMWZmZDg0N2ZkMzI3Yjk0NzYiLCJ1c2VySWQiOiIzOTgyNTUzMjEifQ==</vt:lpwstr>
  </property>
</Properties>
</file>